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ПОСТАНОВЛЕНИЕ № 283 на МС от 19.09.2022 г. за изменение на Постановление № 216 на Министерския съ</w:t>
      </w:r>
      <w:bookmarkStart w:id="0" w:name="_GoBack"/>
      <w:bookmarkEnd w:id="0"/>
      <w:r>
        <w:rPr>
          <w:rFonts w:ascii="Times New Roman" w:hAnsi="Times New Roman"/>
          <w:b/>
          <w:bCs/>
          <w:sz w:val="36"/>
          <w:szCs w:val="36"/>
          <w:lang w:val="x-none"/>
        </w:rPr>
        <w:t>вет от 2022 г. за одобряване на допълнителни трансфери по бюджетите на общините за 2022 г. за превоз на пътници по нерентабилни автобусни линии във вътрешноградски транспорт и транспорта в планински и други райони за 2022 г. и за превоз на пътници по междуселищни автобусни линии извън тези по § 4, ал. 1 и 2 от заключителните разпоредби на Закона за автомобилните превози за 2022 г. (ДВ, бр. 62 от 2022 г.)</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Oбн., ДВ, бр. 76 от 23.09.2022 г.</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МИНИСТЕРСКИЯТ СЪВЕТ</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ПОСТАНОВИ:</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В чл. 4, ал. 1 думите "</w:t>
      </w:r>
      <w:r>
        <w:rPr>
          <w:rFonts w:ascii="Times New Roman" w:hAnsi="Times New Roman"/>
          <w:i/>
          <w:iCs/>
          <w:sz w:val="24"/>
          <w:szCs w:val="24"/>
          <w:lang w:val="x-none"/>
        </w:rPr>
        <w:t>не по-късно от 5 юли 2022 г.</w:t>
      </w:r>
      <w:r>
        <w:rPr>
          <w:rFonts w:ascii="Times New Roman" w:hAnsi="Times New Roman"/>
          <w:sz w:val="24"/>
          <w:szCs w:val="24"/>
          <w:lang w:val="x-none"/>
        </w:rPr>
        <w:t>" се заличават.</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Приложение № 1 към чл. 3 се изменя така: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Приложение № 1 към чл. 3</w:t>
      </w: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265"/>
        <w:gridCol w:w="4995"/>
      </w:tblGrid>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Общини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Допълнителни трансфери за превоз на пътници по междуселищни автобусни линии извън тези по § 4, ал. 1 и 2 от заключителните разпоредби на Закона за автомобилните превози в размер до (в лв.)</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БЛАГОЕВГРАД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Банско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19 632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Благоевград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538 956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Гоце Делчев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195 159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Гърмен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2 664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Кресна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4 167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Петрич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129 456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Разлог</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53 338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Сандански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130 914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Сатовча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68 870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Симитли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Струмяни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3 509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Хаджидимово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Якоруда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БУРГАС</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Айтос</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68 502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Бургас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1 609 687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Камено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37 600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Карнобат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54 548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Малко Търново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12 637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Несебър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160 622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Поморие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189 327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Приморско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70 535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Руен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Созопол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2 136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24 096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Сунгурларе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1 357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Царево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216 043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ВАРНА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Аврен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8 292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Аксаково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165 002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Белослав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Бяла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3 159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Варна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1 191 293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Ветрино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Вълчи дол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Девня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73 452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Долни чифлик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58 565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Дългопол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Провадия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906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Суворово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13 818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ВЕЛИКО ТЪРНОВО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Велико Търново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311 896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Горна Оряховица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225 150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27 178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Златарица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1 514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Лясковец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22 501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Павликени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20 751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Полски Тръмбеш</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4 087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Свищов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256 050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Стражица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8 913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Сухиндол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ВИДИН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Белоградчик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36 500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Бойница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2 981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Брегово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10 431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242 883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Грамада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11 831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Димово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2 177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Кула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Макреш</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Ново село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7 687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Ружинци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Чупрене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ВРАЦА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Борован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Бяла Слатина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90 364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49 469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Козлодуй</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48 617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Криводол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1 624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Мездра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7 183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Мизия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Оряхово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10 869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Роман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5 552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Хайредин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ГАБРОВО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Габрово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69 520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Дряново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37 027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Севлиево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96 404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Трявна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32 067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ДОБРИЧ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Балчик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63 333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Генерал Тошево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6 246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Добрич-град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356 393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Добричка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Каварна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25 301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Крушари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Тервел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34 902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Шабла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29 189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КЪРДЖАЛИ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Ардино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47 682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Джебел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20 494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Кирково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53 277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Крумовград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120 034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Кърджали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402 821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Момчилград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58 487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Черноочене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КЮСТЕНДИЛ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Бобов дол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8 048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Бобошево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Дупница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96 409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Кочериново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Кюстендил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184 687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Невестино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6 358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Рила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16 655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Сапарева баня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25 112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Трекляно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ЛОВЕЧ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Априлци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11 761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Летница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Ловеч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190 041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Луковит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78 852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Тетевен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64 472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Троян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39 325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Угърчин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24 659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Ябланица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МОНТАНА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Берковица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64 575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Бойчиновци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Брусарци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Вълчедръм</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Вършец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13 129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Георги Дамяново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Лом</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90 850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Медковец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Монтана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33 468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Чипровци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17 125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Якимово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ПАЗАРДЖИК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Батак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262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62 382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Брацигово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3 511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Велинград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Лесичово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Пазарджик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182 544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Панагюрище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47 337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Пещера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13 440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Ракитово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Септември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28 512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Стрелча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2 172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Сърница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1 214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ПЕРНИК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Брезник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13 046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Земен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1 191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Ковачевци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4 732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Перник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388 605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Радомир</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59 517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ПЛЕВЕН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Белене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926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Гулянци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43 775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Долна Митрополия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99 294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Долни Дъбник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30 861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Искър</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15 763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Левски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26 609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Никопол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648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Плевен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298 219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Пордим</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16 247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Червен бряг</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Кнежа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ПЛОВДИВ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Асеновград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83 980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Брезово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15 679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Калояново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5 154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Карлово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72 685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Кричим</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Лъки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14 183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41 862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Перущица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Пловдив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986 861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Първомай</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31 115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Раковски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23 119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"Родопи"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95 135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Садово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Стамболийски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Съединение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102 778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Хисаря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37 223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Куклен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36 250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Сопот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РАЗГРАД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Завет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3 046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Исперих</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Кубрат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124 552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Лозница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16 360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192 916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Самуил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Цар Калоян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РУСЕ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Бяла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23 051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Ветово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61 103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Две могили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6 570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Иваново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9 862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Русе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460 683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Сливо поле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СИЛИСТРА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Алфатар</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Главиница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6 874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Дулово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Кайнарджа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10 024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Силистра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219 723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Ситово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12 168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Тутракан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18 752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СЛИВЕН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Котел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83 451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Нова Загора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Сливен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578 251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Твърдица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СМОЛЯН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Баните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21 669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Борино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7 586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Девин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23 851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Доспат</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Златоград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167 737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Мадан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61 767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Неделино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1 364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Рудозем</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71 330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Смолян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129 378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Чепеларе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СОФИЯ</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(Столична)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1 800 394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ОБЛАСТ СОФИЙСКА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Антон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2 918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Божурище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48 617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Ботевград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97 746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Годеч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25 438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Горна Малина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64 923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Долна баня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Драгоман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15 192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Елин Пелин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144 399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Етрополе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20 905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Златица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7 611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Ихтиман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54 960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Копривщица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55 636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Костенец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44 640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Костинброд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64 595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Мирково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21 565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Пирдоп</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4 440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22 627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Самоков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105 289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Своге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13 057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Сливница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53 525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Чавдар</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1 522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Челопеч</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СТАРА ЗАГОРА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Братя Даскалови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Гурково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Гълъбово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38 010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Казанлък</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373 192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Мъглиж</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21 869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Николаево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5 582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Павел баня</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74 881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Раднево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75 402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Стара Загора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357 782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Чирпан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26 502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ТЪРГОВИЩЕ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Антоново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14 749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Омуртаг</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176 629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Опака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Попово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Търговище</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141 520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ХАСКОВО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Димитровград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90 423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Ивайловград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Любимец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Маджарово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4 695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Минерални бани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42 552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Свиленград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79 205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Симеоновград </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18 247</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Стамболово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16 215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Тополовград</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19 512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Харманли</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49 984</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Хасково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721 453</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ШУМЕН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Велики Преслав</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27 610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Венец</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37 742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Върбица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Каолиново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12 601</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Каспичан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1 066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Никола Козлево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Нови пазар</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19 062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Смядово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14 666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Хитрино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7 078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Шумен</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174 066</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ЯМБОЛ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Болярово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6 609</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Елхово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51 122</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Стралджа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125 398</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"Тунджа"</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258 990</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Ямбол</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113 535</w:t>
            </w:r>
          </w:p>
        </w:tc>
      </w:tr>
      <w:tr w:rsidR="00B61BE3">
        <w:trPr>
          <w:tblCellSpacing w:w="0" w:type="dxa"/>
        </w:trPr>
        <w:tc>
          <w:tcPr>
            <w:tcW w:w="52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ВСИЧКО:</w:t>
            </w:r>
          </w:p>
        </w:tc>
        <w:tc>
          <w:tcPr>
            <w:tcW w:w="499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20 000 000</w:t>
            </w:r>
          </w:p>
        </w:tc>
      </w:tr>
    </w:tbl>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Приложение № 2 към чл. 4, ал. 2 се изменя така: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Приложение № 2 към чл. 4, ал. 2</w:t>
      </w:r>
    </w:p>
    <w:p w:rsidR="00B61BE3" w:rsidRDefault="00B61BE3">
      <w:pPr>
        <w:widowControl w:val="0"/>
        <w:autoSpaceDE w:val="0"/>
        <w:autoSpaceDN w:val="0"/>
        <w:adjustRightInd w:val="0"/>
        <w:spacing w:after="0" w:line="240" w:lineRule="auto"/>
        <w:jc w:val="center"/>
        <w:rPr>
          <w:rFonts w:ascii="Times New Roman" w:hAnsi="Times New Roman"/>
          <w:b/>
          <w:bCs/>
          <w:i/>
          <w:iCs/>
          <w:sz w:val="24"/>
          <w:szCs w:val="24"/>
          <w:lang w:val="x-none"/>
        </w:rPr>
      </w:pPr>
      <w:r>
        <w:rPr>
          <w:rFonts w:ascii="Times New Roman" w:hAnsi="Times New Roman"/>
          <w:b/>
          <w:bCs/>
          <w:i/>
          <w:iCs/>
          <w:sz w:val="24"/>
          <w:szCs w:val="24"/>
          <w:lang w:val="x-none"/>
        </w:rPr>
        <w:t xml:space="preserve"> Указания за разпределяне на средствата, определени в приложение № 1 към чл. 3</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Определените за всяка община на територията на Република България средства в приложение № 1 към чл. 3 се разпределят от общините на превозвачи, на които са възложили превози по автобусни линии от утвърдените транспортни схеми – републиканска, междуобластна, областни и общински, в съответствие с разпоредбите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(Регламент (ЕО) № 1370/2007) и които спазват правилата за извършване на обществен превоз на пътници.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Средствата са целеви и не се допуска разходването им за други дейности от общините. На общините, които не са заявили общ планиран годишен пробег за 2022 г. по възложени или в обявена процедура по възлагане автобусни линии от републиканската, междуобластната, областните и общинските транспортни схеми, който не се субсидира със средства по § 4, ал. 1 от заключителните разпоредби на Закона за автомобилните превози, не са разпределени средства в приложение № 1 към чл. 3.</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За целите на разпределението общините ползват принципа от част четвърта, глава трета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(Наредбата), приета с Постановление № 163 на Министерския съвет от 2015 г. и Регламент (ЕО) № 1370/2007.</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Всяка община разпределя средствата по еднакъв начин за всички превозвачи, които кандидатстват за субсидиране на пътнически превози с пробег по междуселищни автобусни линии, който не се субсидира по Наредбата, в рамките на размера на средствата, определени й в приложение № 1 към чл. 3.</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Превозвачите кандидатстват за субсидии по чл. 1, ал. 2, т. 2 с пробег по междуселищни автобусни линии, който не се субсидира по Наредбата, със следните попълнени справки по образци, приложени към тези указания:</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1. приложение № 1 – пробег по междуселищни автобусни линии, за който не са разпределени средства за субсидии от държавния бюджет по реда на Наредбата през 2022 г.;</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2. приложение № 2 – справка за финансовите резултати от извършените междуселищни превози през 2022 г., по несубсидиран пробег по междуселищни автобусни линии, включен в приложение № 1 към тези указания, която се попълва към конкретен отчетен период (към 31 август 2022 г. и към 31 декември 2022 г.), както следва: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1 се попълва общият пробег по междуселищни автобусни линии, който не се субсидира по Наредбата, за 2022 г., в хиляди километри (сумата от пробезите, посочени в справка – приложение № 1 към тези указания);</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2 се отчита в хиляди броят на превозените пътници за съответния период;</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3 се отчитат в левове общите приходи от дейността по предоставяне на превозни услуги, за които се кандидатства за субсидиране;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3.1 се отчитат в левове нетните приходи от продажби от извършваната дейност (продажба на превозни документи);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3.2 се посочват в левове всички получени компенсации за безплатните и по намалени цени превози от централния бюджет за конкретния отчетен период, които общината реално е изплатила на превозвача за посочения в приложение № 1 към тези указания пробег по междуселищни автобусни линии;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3.3 се отчитат в левове други приходи от извършваната дейност, които включват и средствата, получени по икономическите мерки на национално ниво, свързани с пандемията от COVID-19, които имат отношение към автомобилния транспорт.</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Във връзка с горното превозвачите биха могли да използват разпоредбите на чл. 55, ал. 3 и чл. 58, ал. 1 и 2 от Наредбата, които са приложими по отношение на разпределението на разходите между отделни дейности, като същите принципи могат да се използват аналогично за разпределение и на други приходи от различни видове дейности (например приходи от реклама, приходи от икономически мерки на национално ниво, свързани с COVID-19, и др.);</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4 се отчитат в левове общите разходи за дейността по предоставяне на превозни услуги, за които се кандидатства за субсидиране;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4.1 – на ред а) се отчитат разходите за суровини и материали, в т.ч.: гориво (ел. енергия);</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4.2 – на ред а) и ред б) се отчитат в левове разходи за персонала, в т.ч.: разходи за възнаграждения и разходи за осигуровки;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5 се отчита в левове загубата, която се изчислява, като от общите разходи се извадят общите приходи (ред 4 – ред 3);</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6 се отчита в левове разумна печалба, ако такава е предвидена в акта за възлагане, в размер до 5 на сто от общия размер на преките и съответната част от непреките разходи за дейността по предоставяне на пътнически превозни услуги, по които се кандидатства за субсидиране; в случай че предвидената по договор разумна печалба е в по-голям размер, разликата е за сметка на съответната община;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на ред 7 се отчита в левове нетен финансов ефект, който се изчислява като сбор от загубата и разумната печалба (ред 5 + ред 6).</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Справките по приложение № 1 и приложение № 2 към тези указания се подават от превозвачите към общините, с които имат сключени договори за изпълнение на превози по съответните междуселищни автобусни линии, като данните се изчисляват с натрупване за съответните отчетни периоди от 1 януари 2022 г. до 31 август 2022 г. и от 1 януари 2022 г. до 31 декември 2022 г.</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Кметовете на общини определят сроковете за кандидатстване, разпределение и предоставяне на средствата на превозвачите.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За посочените в приложение № 1 към тези указания междуселищни линии се извършва проверка за съответствие по договор. За субсидиране се допускат само линии, които са включени в договорите за възлагане на превозите.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За линии, които се поддържат главно поради историческия интерес към тях или туристическото им значение, не се предоставят средства съгласно Регламент (ЕО) № 1370/2007.</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В списъците за субсидиране със средства по чл. 1, ал. 2, т. 2 могат да бъдат включвани само автобусни линии с действащ договор по реда на Регламент (ЕО) № 1370/2007, който е сключен на дата преди влизането в сила на това постановление, и/или процедурата по възлагането му, въз основа на която e сключен, е била обявена на дата преди влизането в сила на това постановление.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Ако междуселищна автобусна линия се субсидира изцяло по реда на Наредбата, същата не се допуска за субсидиране със средства по чл. 1, ал. 2, т. 2.</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Със средства по чл. 1, ал. 2, т. 2 се допуска субсидиране на пробега по автобусна линия, който не е субсидиран по Наредбата.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Средства по една автобусна линия се разпределят само и единствено от общината – възложител на превозите по нея, независимо че линията може да преминава през територията на няколко общини.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Разпределението на средствата между отделните превозвачи, с които една община има сключени договори, се извършва в един и същ момент, след получаване на всички заявки в определения от общината срок.</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Кметовете на общини извършват проверка на данните, предоставени от превозвачите, като в случай на възникнала необходимост или констатирана нередовност изискват допълнителни документи, включително от трети лица.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Субсидии за пътнически превози се предоставят от общините на превозвачите до размер, който не превишава сумата, съответстваща на нетния финансов ефект.</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В случаите, когато размерът на необходимите средства за субсидии на дадена община надвишава размера на определените й средства в приложение № 1 към чл. 3, полагащите се на превозвачите суми се намаляват съразмерно на недостига за всички превозвачи.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 оглед на избягването на свръхкомпенсиране след приключване на бюджетната година кметът на общината изчислява нетния финансов ефект за цялата предходна година поотделно за всички субсидирани превозвачи, с които има сключен договор, на база на данните от справките по приложения № 1 и № 2 към тези указания към 31 декември 2022 г. За осъществяване на контрол във връзка с предоставянето на средствата за субсидиите, както и в случаите, когато възприетият от съответната община механизъм за разпределяне на сумите налага това, кметовете на общините могат да изискват всяка допълнителна аналитична и/или друга информация от превозвачите, удостоверяваща отчетените в справките по приложения № 1 и № 2 към тези указания данни. В случай че се установи, че на превозвач е предоставена субсидия в размер, превишаващ необходимия, разликата в повече се възстановява от превозвача в общинския бюджет най-късно в едномесечен срок от установяването на превишението заедно с дължимата лихва. Когато превозвачите дължат суми за неустойки или обезщетения по сключените с кметовете на общините договори за обществен превоз на пътници, дължимите суми се превеждат в съответствие с предвиденото в договорите.</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При наличие на данни за нарушения или непълна, неточна и/или невярна информация, посочена в справките по приложения № 1 и № 2 от тези указания, до изясняване на обстоятелствата и/или отстраняване на нарушенията кметът на общината не разпределя и не предоставя средства за субсидии на съответния превозвач.</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Кметовете на общините носят отговорност за спазването на договорите, финансовата дисциплина и законосъобразното разходване на предоставените на съответната община средства.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След изтичането на всяка финансова година, до 31 март на следващата година, кметовете на общините публикуват на своята интернет страница или ако нямат такава – на видно място по своя административен адрес, отчет за изтеклата година, който съдържа информация за: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1. проведените от кмета на общината обществени поръчки или процедури за концесии, чрез които са възложени обществени услуги за обществен превоз на пътници;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2. всеки от сключените договори за извършване на обществени услуги;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3. общия размер на изплатените от кмета на общината компенсации и субсидии и съответния размер на изплатени на всеки от превозвачите суми, както и обема на предоставените им други права, ако има такива.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Предоставените средства се вписват в справките, които ежегодно в срок до 31 март кметовете на общините предоставят на Националната агенция за приходите в електронен вид в обобщена справка по образец – приложение № 9 към Наредбата, за предоставените средства на всеки един от превозвачите, осъществяващи превози на територията на съответната община.</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Приложение № 1</w:t>
      </w:r>
    </w:p>
    <w:p w:rsidR="00B61BE3" w:rsidRDefault="00B61BE3">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 xml:space="preserve"> ДО ОБЩИНА ………………………</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 xml:space="preserve"> Превозвач: …………………………….</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b/>
          <w:bCs/>
          <w:i/>
          <w:iCs/>
          <w:sz w:val="24"/>
          <w:szCs w:val="24"/>
          <w:lang w:val="x-none"/>
        </w:rPr>
      </w:pPr>
      <w:r>
        <w:rPr>
          <w:rFonts w:ascii="Times New Roman" w:hAnsi="Times New Roman"/>
          <w:b/>
          <w:bCs/>
          <w:i/>
          <w:iCs/>
          <w:sz w:val="24"/>
          <w:szCs w:val="24"/>
          <w:lang w:val="x-none"/>
        </w:rPr>
        <w:t xml:space="preserve"> СПРАВКА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b/>
          <w:bCs/>
          <w:i/>
          <w:iCs/>
          <w:sz w:val="24"/>
          <w:szCs w:val="24"/>
          <w:lang w:val="x-none"/>
        </w:rPr>
      </w:pPr>
      <w:r>
        <w:rPr>
          <w:rFonts w:ascii="Times New Roman" w:hAnsi="Times New Roman"/>
          <w:b/>
          <w:bCs/>
          <w:i/>
          <w:iCs/>
          <w:sz w:val="24"/>
          <w:szCs w:val="24"/>
          <w:lang w:val="x-none"/>
        </w:rPr>
        <w:t>към ………….. 2022 г.</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за автобусни линии с пробег по тях, който </w:t>
      </w:r>
      <w:r>
        <w:rPr>
          <w:rFonts w:ascii="Times New Roman" w:hAnsi="Times New Roman"/>
          <w:b/>
          <w:bCs/>
          <w:i/>
          <w:iCs/>
          <w:sz w:val="24"/>
          <w:szCs w:val="24"/>
          <w:lang w:val="x-none"/>
        </w:rPr>
        <w:t xml:space="preserve">не се субсидира </w:t>
      </w:r>
      <w:r>
        <w:rPr>
          <w:rFonts w:ascii="Times New Roman" w:hAnsi="Times New Roman"/>
          <w:i/>
          <w:iCs/>
          <w:sz w:val="24"/>
          <w:szCs w:val="24"/>
          <w:lang w:val="x-none"/>
        </w:rPr>
        <w:t>със средства от държавния бюджет по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Постановление № 163 на Министерския съвет от 2015 г. (Наредбата), и с който се кандидатства за субсидии за 2022 г. по чл. 1, ал. 2, т. 2</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640"/>
        <w:gridCol w:w="2640"/>
        <w:gridCol w:w="2340"/>
        <w:gridCol w:w="2640"/>
      </w:tblGrid>
      <w:tr w:rsidR="00B61BE3">
        <w:trPr>
          <w:tblCellSpacing w:w="0" w:type="dxa"/>
        </w:trPr>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Автобусна линия</w:t>
            </w:r>
          </w:p>
        </w:tc>
        <w:tc>
          <w:tcPr>
            <w:tcW w:w="498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Пробег, несубсидиран по реда на Наредбата, км</w:t>
            </w:r>
          </w:p>
        </w:tc>
      </w:tr>
      <w:tr w:rsidR="00B61BE3">
        <w:trPr>
          <w:tblCellSpacing w:w="0" w:type="dxa"/>
        </w:trPr>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8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8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8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28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w:t>
            </w:r>
          </w:p>
        </w:tc>
        <w:tc>
          <w:tcPr>
            <w:tcW w:w="23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40"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Управител: ........................</w:t>
            </w:r>
          </w:p>
        </w:tc>
      </w:tr>
    </w:tbl>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Приложение № 2 </w:t>
      </w:r>
    </w:p>
    <w:p w:rsidR="00B61BE3" w:rsidRDefault="00B61BE3">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ОБЩИНА …………………………..</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 xml:space="preserve"> Превозвач: …………………………</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b/>
          <w:bCs/>
          <w:i/>
          <w:iCs/>
          <w:sz w:val="24"/>
          <w:szCs w:val="24"/>
          <w:lang w:val="x-none"/>
        </w:rPr>
      </w:pPr>
      <w:r>
        <w:rPr>
          <w:rFonts w:ascii="Times New Roman" w:hAnsi="Times New Roman"/>
          <w:b/>
          <w:bCs/>
          <w:i/>
          <w:iCs/>
          <w:sz w:val="24"/>
          <w:szCs w:val="24"/>
          <w:lang w:val="x-none"/>
        </w:rPr>
        <w:t xml:space="preserve"> СПРАВКА</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за финансови резултати от пътнически превози по междуселищни автобусни линии с пробег, който </w:t>
      </w:r>
      <w:r>
        <w:rPr>
          <w:rFonts w:ascii="Times New Roman" w:hAnsi="Times New Roman"/>
          <w:b/>
          <w:bCs/>
          <w:i/>
          <w:iCs/>
          <w:sz w:val="24"/>
          <w:szCs w:val="24"/>
          <w:lang w:val="x-none"/>
        </w:rPr>
        <w:t xml:space="preserve">не се субсидира </w:t>
      </w:r>
      <w:r>
        <w:rPr>
          <w:rFonts w:ascii="Times New Roman" w:hAnsi="Times New Roman"/>
          <w:i/>
          <w:iCs/>
          <w:sz w:val="24"/>
          <w:szCs w:val="24"/>
          <w:lang w:val="x-none"/>
        </w:rPr>
        <w:t>със средства от държавния бюджет по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Постановление № 163 на Министерския съвет от 2015 г. (Наредбата), за 2022 г. към …………….. 2022 г. 1 за линиите от приложение № 1</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65"/>
        <w:gridCol w:w="2565"/>
        <w:gridCol w:w="2565"/>
        <w:gridCol w:w="2565"/>
      </w:tblGrid>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ред</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Показатели</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Мярка*</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Пътнически превози по междуселищни автобусни линии с пробег, който не се субсидира със средства от държавния бюджет по Наредбата</w:t>
            </w: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 пробег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хил. км</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Превозени пътници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хил. бр.</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Общо приходи от дейност по предоставяне на превозни услуги, по които се кандидатства за субсидиране по чл. 1, ал. 2, т. 2</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Нетни приходи от продажби от извършваната дейност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3.2.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Получени компенсации за безплатни и по намалени цени превози от централния бюджет за отчетния период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Други приходи от извършваната дейност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Общо разходи за дейността по предоставяне на превозни услуги, по които се кандидатства за субсидиране по чл. 1, ал. 2, т. 2**: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суровини и материали, в т.ч.: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Гориво (ел. енергия)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персонала, в т.ч.: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възнаграждения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осигуровки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Загуба (р. 4 – р. 3)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Разумна печалба***</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Нетен финансов ефект (р. 5 + р. 6)**</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61BE3">
        <w:trPr>
          <w:tblCellSpacing w:w="0" w:type="dxa"/>
        </w:trPr>
        <w:tc>
          <w:tcPr>
            <w:tcW w:w="5130" w:type="dxa"/>
            <w:gridSpan w:val="2"/>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w:t>
            </w: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 счетоводител: ........................ </w:t>
            </w: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65" w:type="dxa"/>
            <w:tcBorders>
              <w:top w:val="single" w:sz="6" w:space="0" w:color="A0A0A0"/>
              <w:left w:val="single" w:sz="6" w:space="0" w:color="A0A0A0"/>
              <w:bottom w:val="single" w:sz="6" w:space="0" w:color="F0F0F0"/>
              <w:right w:val="single" w:sz="6" w:space="0" w:color="F0F0F0"/>
            </w:tcBorders>
          </w:tcPr>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 Управител: ........................</w:t>
            </w:r>
          </w:p>
        </w:tc>
      </w:tr>
    </w:tbl>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Забележки: * Данните се изписват с цели числа в абсолютна стойност.</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Нетният финансов ефект се компенсира само когато общо приходите от дейността по предоставяне на субсидирани по чл. 1, ал. 2, т. 2 превозни услуги не надвишава общо разходите за дейността по предоставяне на пътнически превозни услуги, по които се кандидатства за субсидиране. При определянето на нетния финансов ефект не се включват разходите за санкции и неустойки.</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 Разумната печалба се определя в размер до 5 на сто от общия размер на преките и съответната част от непреките разходи за дейността по предоставяне на пътнически превозни услуги, по които се кандидатства за субсидиране по чл. 1, ал. 2, т. 2.</w:t>
      </w:r>
    </w:p>
    <w:p w:rsidR="00B61BE3" w:rsidRDefault="00B61BE3">
      <w:pPr>
        <w:widowControl w:val="0"/>
        <w:autoSpaceDE w:val="0"/>
        <w:autoSpaceDN w:val="0"/>
        <w:adjustRightInd w:val="0"/>
        <w:spacing w:after="0" w:line="240" w:lineRule="auto"/>
        <w:ind w:firstLine="480"/>
        <w:jc w:val="both"/>
        <w:rPr>
          <w:rFonts w:ascii="Times New Roman" w:hAnsi="Times New Roman"/>
          <w:i/>
          <w:iCs/>
          <w:sz w:val="24"/>
          <w:szCs w:val="24"/>
          <w:lang w:val="x-none"/>
        </w:rPr>
      </w:pPr>
    </w:p>
    <w:sectPr w:rsidR="00B61BE3" w:rsidSect="001666F8">
      <w:pgSz w:w="11907" w:h="16839"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C4"/>
    <w:rsid w:val="001666F8"/>
    <w:rsid w:val="00425AEB"/>
    <w:rsid w:val="008E40C4"/>
    <w:rsid w:val="00B61B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99E6EE-1230-4818-93A7-A5F5FECD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2022-09-27T08:47:00Z</dcterms:created>
  <dcterms:modified xsi:type="dcterms:W3CDTF">2022-09-27T08:47:00Z</dcterms:modified>
</cp:coreProperties>
</file>