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A08D1" w:rsidRPr="005018C8" w:rsidRDefault="003A08D1" w:rsidP="00FA39D0">
      <w:pPr>
        <w:pStyle w:val="Default"/>
        <w:jc w:val="both"/>
        <w:rPr>
          <w:b/>
          <w:i/>
          <w:u w:val="single"/>
          <w:lang w:val="ru-RU"/>
        </w:rPr>
      </w:pPr>
      <w:r w:rsidRPr="005018C8">
        <w:rPr>
          <w:b/>
          <w:bCs/>
          <w:i/>
          <w:u w:val="single"/>
        </w:rPr>
        <w:t>Анализ на резултатите за напредъка в изпълнението на</w:t>
      </w:r>
      <w:r w:rsidRPr="005018C8">
        <w:rPr>
          <w:b/>
          <w:bCs/>
          <w:u w:val="single"/>
        </w:rPr>
        <w:t xml:space="preserve"> </w:t>
      </w:r>
      <w:r w:rsidRPr="005018C8">
        <w:rPr>
          <w:b/>
          <w:i/>
          <w:u w:val="single"/>
        </w:rPr>
        <w:t>Ц</w:t>
      </w:r>
      <w:r w:rsidRPr="005018C8">
        <w:rPr>
          <w:b/>
          <w:i/>
          <w:u w:val="single"/>
          <w:lang w:val="ru-RU"/>
        </w:rPr>
        <w:t>ифров</w:t>
      </w:r>
      <w:r w:rsidRPr="005018C8">
        <w:rPr>
          <w:b/>
          <w:i/>
          <w:u w:val="single"/>
        </w:rPr>
        <w:t>ата програма</w:t>
      </w:r>
      <w:r w:rsidRPr="005018C8">
        <w:rPr>
          <w:b/>
          <w:i/>
          <w:u w:val="single"/>
          <w:lang w:val="ru-RU"/>
        </w:rPr>
        <w:t xml:space="preserve"> за </w:t>
      </w:r>
    </w:p>
    <w:p w:rsidR="003A08D1" w:rsidRPr="005018C8" w:rsidRDefault="003A08D1" w:rsidP="00FA39D0">
      <w:pPr>
        <w:pStyle w:val="Default"/>
        <w:ind w:left="2124" w:firstLine="708"/>
        <w:jc w:val="both"/>
        <w:rPr>
          <w:b/>
          <w:bCs/>
          <w:i/>
          <w:u w:val="single"/>
        </w:rPr>
      </w:pPr>
      <w:r w:rsidRPr="005018C8">
        <w:rPr>
          <w:b/>
          <w:i/>
          <w:u w:val="single"/>
          <w:lang w:val="ru-RU"/>
        </w:rPr>
        <w:t>Европа</w:t>
      </w:r>
      <w:r>
        <w:rPr>
          <w:b/>
          <w:i/>
          <w:u w:val="single"/>
        </w:rPr>
        <w:t>(</w:t>
      </w:r>
      <w:r w:rsidRPr="005018C8">
        <w:rPr>
          <w:b/>
          <w:i/>
          <w:u w:val="single"/>
          <w:lang w:val="ru-RU"/>
        </w:rPr>
        <w:t xml:space="preserve"> </w:t>
      </w:r>
      <w:r w:rsidRPr="005018C8">
        <w:rPr>
          <w:b/>
          <w:bCs/>
          <w:i/>
          <w:u w:val="single"/>
        </w:rPr>
        <w:t>ЦПЕ</w:t>
      </w:r>
      <w:r>
        <w:rPr>
          <w:b/>
          <w:bCs/>
          <w:i/>
          <w:u w:val="single"/>
        </w:rPr>
        <w:t>) и в България</w:t>
      </w:r>
      <w:r w:rsidRPr="005018C8">
        <w:rPr>
          <w:b/>
          <w:bCs/>
          <w:i/>
          <w:u w:val="single"/>
        </w:rPr>
        <w:t xml:space="preserve"> към юни </w:t>
      </w:r>
      <w:smartTag w:uri="urn:schemas-microsoft-com:office:smarttags" w:element="metricconverter">
        <w:smartTagPr>
          <w:attr w:name="ProductID" w:val="2013 г"/>
        </w:smartTagPr>
        <w:r w:rsidRPr="005018C8">
          <w:rPr>
            <w:b/>
            <w:bCs/>
            <w:i/>
            <w:u w:val="single"/>
          </w:rPr>
          <w:t>2013 г</w:t>
        </w:r>
      </w:smartTag>
      <w:r w:rsidRPr="005018C8">
        <w:rPr>
          <w:b/>
          <w:bCs/>
          <w:i/>
          <w:u w:val="single"/>
        </w:rPr>
        <w:t>.</w:t>
      </w:r>
    </w:p>
    <w:p w:rsidR="003A08D1" w:rsidRPr="005018C8" w:rsidRDefault="003A08D1" w:rsidP="005018C8">
      <w:pPr>
        <w:pStyle w:val="Default"/>
        <w:jc w:val="both"/>
        <w:rPr>
          <w:vertAlign w:val="subscript"/>
        </w:rPr>
      </w:pPr>
    </w:p>
    <w:p w:rsidR="003A08D1" w:rsidRPr="005018C8" w:rsidRDefault="003A08D1" w:rsidP="00FA39D0">
      <w:pPr>
        <w:pStyle w:val="Default"/>
        <w:ind w:left="708"/>
        <w:jc w:val="both"/>
        <w:rPr>
          <w:vertAlign w:val="subscript"/>
        </w:rPr>
      </w:pPr>
    </w:p>
    <w:p w:rsidR="003A08D1" w:rsidRDefault="003A08D1" w:rsidP="005018C8">
      <w:pPr>
        <w:pStyle w:val="Default"/>
        <w:jc w:val="both"/>
        <w:rPr>
          <w:b/>
        </w:rPr>
      </w:pPr>
      <w:r w:rsidRPr="005018C8">
        <w:rPr>
          <w:b/>
        </w:rPr>
        <w:t xml:space="preserve">Съдържание </w:t>
      </w:r>
    </w:p>
    <w:p w:rsidR="003A08D1" w:rsidRPr="005018C8" w:rsidRDefault="003A08D1" w:rsidP="005018C8">
      <w:pPr>
        <w:pStyle w:val="Default"/>
        <w:jc w:val="both"/>
        <w:rPr>
          <w:b/>
        </w:rPr>
      </w:pPr>
    </w:p>
    <w:p w:rsidR="003A08D1" w:rsidRPr="005018C8" w:rsidRDefault="003A08D1" w:rsidP="005018C8">
      <w:pPr>
        <w:pStyle w:val="Default"/>
        <w:jc w:val="both"/>
        <w:rPr>
          <w:b/>
        </w:rPr>
      </w:pPr>
      <w:r>
        <w:rPr>
          <w:b/>
        </w:rPr>
        <w:t>Увод...........................................................................................................................................1</w:t>
      </w:r>
    </w:p>
    <w:p w:rsidR="003A08D1" w:rsidRDefault="003A08D1" w:rsidP="005018C8">
      <w:pPr>
        <w:pStyle w:val="Default"/>
        <w:jc w:val="both"/>
        <w:rPr>
          <w:b/>
          <w:bCs/>
        </w:rPr>
      </w:pPr>
      <w:r w:rsidRPr="00FA39D0">
        <w:rPr>
          <w:b/>
          <w:bCs/>
        </w:rPr>
        <w:t>Ключови цели за изпълнение</w:t>
      </w:r>
      <w:r>
        <w:rPr>
          <w:b/>
          <w:bCs/>
        </w:rPr>
        <w:t>...............................................................................................2</w:t>
      </w:r>
    </w:p>
    <w:p w:rsidR="003A08D1" w:rsidRPr="006A06A2" w:rsidRDefault="003A08D1" w:rsidP="005018C8">
      <w:pPr>
        <w:pStyle w:val="Default"/>
        <w:jc w:val="both"/>
        <w:rPr>
          <w:b/>
        </w:rPr>
      </w:pPr>
      <w:r>
        <w:rPr>
          <w:b/>
        </w:rPr>
        <w:t xml:space="preserve">Ключови </w:t>
      </w:r>
      <w:r w:rsidRPr="006A06A2">
        <w:rPr>
          <w:b/>
        </w:rPr>
        <w:t xml:space="preserve"> полит</w:t>
      </w:r>
      <w:r>
        <w:rPr>
          <w:b/>
        </w:rPr>
        <w:t>ически действия .......................................................................................9</w:t>
      </w:r>
    </w:p>
    <w:p w:rsidR="003A08D1" w:rsidRDefault="003A08D1" w:rsidP="005018C8">
      <w:pPr>
        <w:pStyle w:val="Default"/>
        <w:jc w:val="both"/>
        <w:rPr>
          <w:b/>
          <w:color w:val="auto"/>
        </w:rPr>
      </w:pPr>
      <w:r w:rsidRPr="00D531D1">
        <w:rPr>
          <w:b/>
          <w:color w:val="auto"/>
        </w:rPr>
        <w:t xml:space="preserve">Преглед на ЦПЕ през </w:t>
      </w:r>
      <w:smartTag w:uri="urn:schemas-microsoft-com:office:smarttags" w:element="metricconverter">
        <w:smartTagPr>
          <w:attr w:name="ProductID" w:val="2012 г"/>
        </w:smartTagPr>
        <w:r w:rsidRPr="00D531D1">
          <w:rPr>
            <w:b/>
            <w:color w:val="auto"/>
          </w:rPr>
          <w:t xml:space="preserve">2012 </w:t>
        </w:r>
        <w:r>
          <w:rPr>
            <w:b/>
            <w:color w:val="auto"/>
          </w:rPr>
          <w:t>г</w:t>
        </w:r>
      </w:smartTag>
      <w:r>
        <w:rPr>
          <w:b/>
          <w:color w:val="auto"/>
        </w:rPr>
        <w:t>................................................................................................14</w:t>
      </w:r>
    </w:p>
    <w:p w:rsidR="003A08D1" w:rsidRDefault="003A08D1" w:rsidP="00A655C9">
      <w:pPr>
        <w:pStyle w:val="Default"/>
        <w:jc w:val="both"/>
        <w:rPr>
          <w:b/>
          <w:lang w:val="ru-RU"/>
        </w:rPr>
      </w:pPr>
      <w:r w:rsidRPr="001C19A8">
        <w:rPr>
          <w:b/>
          <w:lang w:val="ru-RU"/>
        </w:rPr>
        <w:t xml:space="preserve">Анализ на резултатите за напредъка в изпълнението на България </w:t>
      </w:r>
    </w:p>
    <w:p w:rsidR="003A08D1" w:rsidRPr="001C19A8" w:rsidRDefault="003A08D1" w:rsidP="001C19A8">
      <w:pPr>
        <w:pStyle w:val="Default"/>
        <w:jc w:val="both"/>
        <w:rPr>
          <w:b/>
          <w:lang w:val="ru-RU"/>
        </w:rPr>
      </w:pPr>
      <w:r w:rsidRPr="001C19A8">
        <w:rPr>
          <w:b/>
          <w:lang w:val="ru-RU"/>
        </w:rPr>
        <w:t xml:space="preserve">в рамките на Цифровата програма за  Европа(ЦПЕ) към юни </w:t>
      </w:r>
      <w:smartTag w:uri="urn:schemas-microsoft-com:office:smarttags" w:element="metricconverter">
        <w:smartTagPr>
          <w:attr w:name="ProductID" w:val="2013 г"/>
        </w:smartTagPr>
        <w:r w:rsidRPr="001C19A8">
          <w:rPr>
            <w:b/>
            <w:lang w:val="ru-RU"/>
          </w:rPr>
          <w:t>2013 г</w:t>
        </w:r>
      </w:smartTag>
      <w:r w:rsidRPr="001C19A8">
        <w:rPr>
          <w:b/>
          <w:lang w:val="ru-RU"/>
        </w:rPr>
        <w:t>.</w:t>
      </w:r>
      <w:r>
        <w:rPr>
          <w:b/>
          <w:lang w:val="ru-RU"/>
        </w:rPr>
        <w:t>.....................15</w:t>
      </w:r>
    </w:p>
    <w:p w:rsidR="003A08D1" w:rsidRDefault="003A08D1" w:rsidP="00FA39D0">
      <w:pPr>
        <w:pStyle w:val="Default"/>
        <w:ind w:firstLine="708"/>
        <w:jc w:val="both"/>
      </w:pPr>
    </w:p>
    <w:p w:rsidR="003A08D1" w:rsidRPr="005018C8" w:rsidRDefault="003A08D1" w:rsidP="005018C8">
      <w:pPr>
        <w:pStyle w:val="Default"/>
        <w:jc w:val="both"/>
        <w:rPr>
          <w:b/>
        </w:rPr>
      </w:pPr>
      <w:r>
        <w:rPr>
          <w:b/>
        </w:rPr>
        <w:t>Увод</w:t>
      </w:r>
    </w:p>
    <w:p w:rsidR="003A08D1" w:rsidRDefault="003A08D1" w:rsidP="00FA39D0">
      <w:pPr>
        <w:pStyle w:val="Default"/>
        <w:ind w:firstLine="708"/>
        <w:jc w:val="both"/>
      </w:pPr>
    </w:p>
    <w:p w:rsidR="003A08D1" w:rsidRPr="00FA39D0" w:rsidRDefault="003A08D1" w:rsidP="00FA39D0">
      <w:pPr>
        <w:pStyle w:val="Default"/>
        <w:ind w:firstLine="708"/>
        <w:jc w:val="both"/>
      </w:pPr>
      <w:r w:rsidRPr="005018C8">
        <w:t xml:space="preserve">Икономиката на ЕС е белязана от рецесията през 2012 година. Според последните данни на Комисията, годишния БВП през </w:t>
      </w:r>
      <w:smartTag w:uri="urn:schemas-microsoft-com:office:smarttags" w:element="metricconverter">
        <w:smartTagPr>
          <w:attr w:name="ProductID" w:val="2013 г"/>
        </w:smartTagPr>
        <w:r w:rsidRPr="005018C8">
          <w:t>20</w:t>
        </w:r>
        <w:r>
          <w:t>13 г</w:t>
        </w:r>
      </w:smartTag>
      <w:r>
        <w:t>. се очаква да се свие до 0,</w:t>
      </w:r>
      <w:r w:rsidRPr="005018C8">
        <w:t>1% в ЕС и 0,4% в евро зоната. Безработицата е на неприемливи нива в много страни, особено за младите хора. Ограничени от високи нива на дълг, правител</w:t>
      </w:r>
      <w:r>
        <w:t>ствата са под натиск да намалят</w:t>
      </w:r>
      <w:r w:rsidRPr="005018C8">
        <w:t xml:space="preserve"> държавните публичните</w:t>
      </w:r>
      <w:r w:rsidRPr="00FA39D0">
        <w:t xml:space="preserve"> разходи. На този фон има няколко потенциални източници на растеж и заетост.</w:t>
      </w:r>
    </w:p>
    <w:p w:rsidR="003A08D1" w:rsidRPr="00FA39D0" w:rsidRDefault="003A08D1" w:rsidP="00FA39D0">
      <w:pPr>
        <w:pStyle w:val="Default"/>
        <w:ind w:firstLine="708"/>
        <w:jc w:val="both"/>
      </w:pPr>
      <w:r w:rsidRPr="00A655C9">
        <w:rPr>
          <w:lang w:val="ru-RU"/>
        </w:rPr>
        <w:t>Един от най-важните източници е технологичн</w:t>
      </w:r>
      <w:r w:rsidRPr="00FA39D0">
        <w:t>ия</w:t>
      </w:r>
      <w:r w:rsidRPr="00A655C9">
        <w:rPr>
          <w:lang w:val="ru-RU"/>
        </w:rPr>
        <w:t xml:space="preserve"> напредък, в това число цифровизацията</w:t>
      </w:r>
      <w:r>
        <w:rPr>
          <w:lang w:val="ru-RU"/>
        </w:rPr>
        <w:t xml:space="preserve"> </w:t>
      </w:r>
      <w:r w:rsidRPr="00A655C9">
        <w:rPr>
          <w:lang w:val="ru-RU"/>
        </w:rPr>
        <w:t xml:space="preserve"> и </w:t>
      </w:r>
      <w:r w:rsidRPr="00FA39D0">
        <w:t xml:space="preserve">възприемането й </w:t>
      </w:r>
      <w:r w:rsidRPr="00A655C9">
        <w:rPr>
          <w:lang w:val="ru-RU"/>
        </w:rPr>
        <w:t xml:space="preserve"> от обществото.</w:t>
      </w:r>
    </w:p>
    <w:p w:rsidR="003A08D1" w:rsidRPr="00A655C9" w:rsidRDefault="003A08D1" w:rsidP="00FA39D0">
      <w:pPr>
        <w:pStyle w:val="Default"/>
        <w:ind w:firstLine="708"/>
        <w:jc w:val="both"/>
        <w:rPr>
          <w:lang w:val="ru-RU"/>
        </w:rPr>
      </w:pPr>
      <w:r w:rsidRPr="00FA39D0">
        <w:t xml:space="preserve">Възприемането </w:t>
      </w:r>
      <w:r w:rsidRPr="00A655C9">
        <w:rPr>
          <w:lang w:val="ru-RU"/>
        </w:rPr>
        <w:t>на ИКТ и адаптиране</w:t>
      </w:r>
      <w:r w:rsidRPr="00FA39D0">
        <w:t>то</w:t>
      </w:r>
      <w:r w:rsidRPr="00A655C9">
        <w:rPr>
          <w:lang w:val="ru-RU"/>
        </w:rPr>
        <w:t xml:space="preserve"> на бизнеса към новите технологии е ключов фактор за конкурентоспособността на всяка </w:t>
      </w:r>
      <w:r w:rsidRPr="00FA39D0">
        <w:t>фирма</w:t>
      </w:r>
      <w:r>
        <w:rPr>
          <w:lang w:val="ru-RU"/>
        </w:rPr>
        <w:t>.</w:t>
      </w:r>
      <w:r w:rsidRPr="00FA39D0">
        <w:t xml:space="preserve"> И</w:t>
      </w:r>
      <w:r w:rsidRPr="00A655C9">
        <w:rPr>
          <w:lang w:val="ru-RU"/>
        </w:rPr>
        <w:t>новативно</w:t>
      </w:r>
      <w:r w:rsidRPr="00FA39D0">
        <w:t>то</w:t>
      </w:r>
      <w:r w:rsidRPr="00A655C9">
        <w:rPr>
          <w:lang w:val="ru-RU"/>
        </w:rPr>
        <w:t xml:space="preserve"> използване на ИКТ  подобрява обществените услуги и намалява разходите, ка</w:t>
      </w:r>
      <w:r w:rsidRPr="00FA39D0">
        <w:t>то</w:t>
      </w:r>
      <w:r w:rsidRPr="00A655C9">
        <w:rPr>
          <w:lang w:val="ru-RU"/>
        </w:rPr>
        <w:t xml:space="preserve"> </w:t>
      </w:r>
      <w:r w:rsidRPr="00FA39D0">
        <w:t xml:space="preserve">улеснява достъпа на  </w:t>
      </w:r>
      <w:r w:rsidRPr="00A655C9">
        <w:rPr>
          <w:lang w:val="ru-RU"/>
        </w:rPr>
        <w:t xml:space="preserve">гражданите и бизнеса  от разстояние. </w:t>
      </w:r>
      <w:r w:rsidRPr="00FA39D0">
        <w:t>В</w:t>
      </w:r>
      <w:r w:rsidRPr="00A655C9">
        <w:rPr>
          <w:lang w:val="ru-RU"/>
        </w:rPr>
        <w:t>ъпреки високата обща</w:t>
      </w:r>
      <w:r w:rsidRPr="00FA39D0">
        <w:t xml:space="preserve"> </w:t>
      </w:r>
      <w:r w:rsidRPr="00A655C9">
        <w:rPr>
          <w:lang w:val="ru-RU"/>
        </w:rPr>
        <w:t>безработица, има недостиг на специалисти в областта на ИКТ в ЕС,</w:t>
      </w:r>
      <w:r>
        <w:t xml:space="preserve"> </w:t>
      </w:r>
      <w:r w:rsidRPr="00FA39D0">
        <w:t xml:space="preserve">като се </w:t>
      </w:r>
      <w:r w:rsidRPr="00A655C9">
        <w:rPr>
          <w:lang w:val="ru-RU"/>
        </w:rPr>
        <w:t xml:space="preserve"> очаква </w:t>
      </w:r>
      <w:r w:rsidRPr="00FA39D0">
        <w:t xml:space="preserve">тя </w:t>
      </w:r>
      <w:r w:rsidRPr="00A655C9">
        <w:rPr>
          <w:lang w:val="ru-RU"/>
        </w:rPr>
        <w:t>да достигн</w:t>
      </w:r>
      <w:r w:rsidRPr="00FA39D0">
        <w:t>е</w:t>
      </w:r>
      <w:r w:rsidRPr="00A655C9">
        <w:rPr>
          <w:lang w:val="ru-RU"/>
        </w:rPr>
        <w:t xml:space="preserve"> до </w:t>
      </w:r>
      <w:r>
        <w:rPr>
          <w:lang w:val="ru-RU"/>
        </w:rPr>
        <w:t xml:space="preserve">  </w:t>
      </w:r>
      <w:r w:rsidRPr="00A655C9">
        <w:rPr>
          <w:lang w:val="ru-RU"/>
        </w:rPr>
        <w:t xml:space="preserve">900 000 незаети работни места до 2015 година. Следователно,  </w:t>
      </w:r>
      <w:r w:rsidRPr="00FA39D0">
        <w:t xml:space="preserve">цялостното изпълнение </w:t>
      </w:r>
      <w:r w:rsidRPr="00A655C9">
        <w:rPr>
          <w:lang w:val="ru-RU"/>
        </w:rPr>
        <w:t xml:space="preserve"> на </w:t>
      </w:r>
      <w:r w:rsidRPr="00FA39D0">
        <w:t>Ц</w:t>
      </w:r>
      <w:r w:rsidRPr="00A655C9">
        <w:rPr>
          <w:lang w:val="ru-RU"/>
        </w:rPr>
        <w:t>ифров</w:t>
      </w:r>
      <w:r w:rsidRPr="00FA39D0">
        <w:t>ата програма</w:t>
      </w:r>
      <w:r w:rsidRPr="00A655C9">
        <w:rPr>
          <w:lang w:val="ru-RU"/>
        </w:rPr>
        <w:t xml:space="preserve"> за Европа (</w:t>
      </w:r>
      <w:r w:rsidRPr="00FA39D0">
        <w:t>ЦПЕ</w:t>
      </w:r>
      <w:r w:rsidRPr="00A655C9">
        <w:rPr>
          <w:lang w:val="ru-RU"/>
        </w:rPr>
        <w:t xml:space="preserve">), </w:t>
      </w:r>
      <w:hyperlink r:id="rId7" w:history="1">
        <w:r w:rsidRPr="00FA39D0">
          <w:rPr>
            <w:rStyle w:val="Hyperlink"/>
            <w:lang w:val="en-US"/>
          </w:rPr>
          <w:t>http</w:t>
        </w:r>
        <w:r w:rsidRPr="00A655C9">
          <w:rPr>
            <w:rStyle w:val="Hyperlink"/>
            <w:lang w:val="ru-RU"/>
          </w:rPr>
          <w:t>://</w:t>
        </w:r>
        <w:r w:rsidRPr="00FA39D0">
          <w:rPr>
            <w:rStyle w:val="Hyperlink"/>
            <w:lang w:val="en-US"/>
          </w:rPr>
          <w:t>ec</w:t>
        </w:r>
        <w:r w:rsidRPr="00A655C9">
          <w:rPr>
            <w:rStyle w:val="Hyperlink"/>
            <w:lang w:val="ru-RU"/>
          </w:rPr>
          <w:t>.</w:t>
        </w:r>
        <w:r w:rsidRPr="00FA39D0">
          <w:rPr>
            <w:rStyle w:val="Hyperlink"/>
            <w:lang w:val="en-US"/>
          </w:rPr>
          <w:t>europa</w:t>
        </w:r>
        <w:r w:rsidRPr="00A655C9">
          <w:rPr>
            <w:rStyle w:val="Hyperlink"/>
            <w:lang w:val="ru-RU"/>
          </w:rPr>
          <w:t>.</w:t>
        </w:r>
        <w:r w:rsidRPr="00FA39D0">
          <w:rPr>
            <w:rStyle w:val="Hyperlink"/>
            <w:lang w:val="en-US"/>
          </w:rPr>
          <w:t>eu</w:t>
        </w:r>
        <w:r w:rsidRPr="00A655C9">
          <w:rPr>
            <w:rStyle w:val="Hyperlink"/>
            <w:lang w:val="ru-RU"/>
          </w:rPr>
          <w:t>/</w:t>
        </w:r>
        <w:r w:rsidRPr="00FA39D0">
          <w:rPr>
            <w:rStyle w:val="Hyperlink"/>
            <w:lang w:val="en-US"/>
          </w:rPr>
          <w:t>information</w:t>
        </w:r>
        <w:r w:rsidRPr="00A655C9">
          <w:rPr>
            <w:rStyle w:val="Hyperlink"/>
            <w:lang w:val="ru-RU"/>
          </w:rPr>
          <w:t>_</w:t>
        </w:r>
        <w:r w:rsidRPr="00FA39D0">
          <w:rPr>
            <w:rStyle w:val="Hyperlink"/>
            <w:lang w:val="en-US"/>
          </w:rPr>
          <w:t>society</w:t>
        </w:r>
        <w:r w:rsidRPr="00A655C9">
          <w:rPr>
            <w:rStyle w:val="Hyperlink"/>
            <w:lang w:val="ru-RU"/>
          </w:rPr>
          <w:t>/</w:t>
        </w:r>
        <w:r w:rsidRPr="00FA39D0">
          <w:rPr>
            <w:rStyle w:val="Hyperlink"/>
            <w:lang w:val="en-US"/>
          </w:rPr>
          <w:t>digital</w:t>
        </w:r>
        <w:r w:rsidRPr="00A655C9">
          <w:rPr>
            <w:rStyle w:val="Hyperlink"/>
            <w:lang w:val="ru-RU"/>
          </w:rPr>
          <w:t>-</w:t>
        </w:r>
        <w:r w:rsidRPr="00FA39D0">
          <w:rPr>
            <w:rStyle w:val="Hyperlink"/>
            <w:lang w:val="en-US"/>
          </w:rPr>
          <w:t>agenda</w:t>
        </w:r>
        <w:r w:rsidRPr="00A655C9">
          <w:rPr>
            <w:rStyle w:val="Hyperlink"/>
            <w:lang w:val="ru-RU"/>
          </w:rPr>
          <w:t>/</w:t>
        </w:r>
        <w:r w:rsidRPr="00FA39D0">
          <w:rPr>
            <w:rStyle w:val="Hyperlink"/>
            <w:lang w:val="en-US"/>
          </w:rPr>
          <w:t>index</w:t>
        </w:r>
        <w:r w:rsidRPr="00A655C9">
          <w:rPr>
            <w:rStyle w:val="Hyperlink"/>
            <w:lang w:val="ru-RU"/>
          </w:rPr>
          <w:t>_</w:t>
        </w:r>
        <w:r w:rsidRPr="00FA39D0">
          <w:rPr>
            <w:rStyle w:val="Hyperlink"/>
            <w:lang w:val="en-US"/>
          </w:rPr>
          <w:t>en</w:t>
        </w:r>
        <w:r w:rsidRPr="00A655C9">
          <w:rPr>
            <w:rStyle w:val="Hyperlink"/>
            <w:lang w:val="ru-RU"/>
          </w:rPr>
          <w:t>.</w:t>
        </w:r>
        <w:r w:rsidRPr="00FA39D0">
          <w:rPr>
            <w:rStyle w:val="Hyperlink"/>
            <w:lang w:val="en-US"/>
          </w:rPr>
          <w:t>htm</w:t>
        </w:r>
      </w:hyperlink>
      <w:r w:rsidRPr="00A71CB7">
        <w:rPr>
          <w:lang w:val="ru-RU"/>
        </w:rPr>
        <w:t xml:space="preserve"> </w:t>
      </w:r>
      <w:r>
        <w:t xml:space="preserve"> </w:t>
      </w:r>
      <w:r w:rsidRPr="00A655C9">
        <w:rPr>
          <w:lang w:val="ru-RU"/>
        </w:rPr>
        <w:t xml:space="preserve">приета от Европейската комисия през </w:t>
      </w:r>
      <w:smartTag w:uri="urn:schemas-microsoft-com:office:smarttags" w:element="metricconverter">
        <w:smartTagPr>
          <w:attr w:name="ProductID" w:val="2010 г"/>
        </w:smartTagPr>
        <w:r w:rsidRPr="00A655C9">
          <w:rPr>
            <w:lang w:val="ru-RU"/>
          </w:rPr>
          <w:t>2010 г</w:t>
        </w:r>
      </w:smartTag>
      <w:r w:rsidRPr="00A655C9">
        <w:rPr>
          <w:lang w:val="ru-RU"/>
        </w:rPr>
        <w:t xml:space="preserve">., повече от всякога е приоритет за постигането на целите на </w:t>
      </w:r>
      <w:r>
        <w:t xml:space="preserve">стратегията </w:t>
      </w:r>
      <w:r>
        <w:rPr>
          <w:lang w:val="ru-RU"/>
        </w:rPr>
        <w:t>Европа 2020</w:t>
      </w:r>
      <w:r w:rsidRPr="00A655C9">
        <w:rPr>
          <w:lang w:val="ru-RU"/>
        </w:rPr>
        <w:t>.</w:t>
      </w:r>
    </w:p>
    <w:p w:rsidR="003A08D1" w:rsidRPr="00FA39D0" w:rsidRDefault="003A08D1" w:rsidP="00B5592B">
      <w:pPr>
        <w:pStyle w:val="Default"/>
        <w:ind w:firstLine="720"/>
        <w:jc w:val="both"/>
      </w:pPr>
      <w:r w:rsidRPr="00FA39D0">
        <w:t>Ц</w:t>
      </w:r>
      <w:r w:rsidRPr="00A655C9">
        <w:rPr>
          <w:lang w:val="ru-RU"/>
        </w:rPr>
        <w:t>ифров</w:t>
      </w:r>
      <w:r w:rsidRPr="00FA39D0">
        <w:t>а</w:t>
      </w:r>
      <w:r w:rsidRPr="00A655C9">
        <w:rPr>
          <w:lang w:val="ru-RU"/>
        </w:rPr>
        <w:t>т</w:t>
      </w:r>
      <w:r w:rsidRPr="00FA39D0">
        <w:t>а</w:t>
      </w:r>
      <w:r w:rsidRPr="00A655C9">
        <w:rPr>
          <w:lang w:val="ru-RU"/>
        </w:rPr>
        <w:t xml:space="preserve"> </w:t>
      </w:r>
      <w:r w:rsidRPr="00FA39D0">
        <w:t xml:space="preserve">програма </w:t>
      </w:r>
      <w:r w:rsidRPr="00A655C9">
        <w:rPr>
          <w:lang w:val="ru-RU"/>
        </w:rPr>
        <w:t xml:space="preserve">идентифицира 101 конкретни политически действия в </w:t>
      </w:r>
      <w:r>
        <w:rPr>
          <w:lang w:val="ru-RU"/>
        </w:rPr>
        <w:t xml:space="preserve">       </w:t>
      </w:r>
      <w:r w:rsidRPr="00A655C9">
        <w:rPr>
          <w:lang w:val="ru-RU"/>
        </w:rPr>
        <w:t>7</w:t>
      </w:r>
      <w:r>
        <w:rPr>
          <w:lang w:val="ru-RU"/>
        </w:rPr>
        <w:t xml:space="preserve"> области</w:t>
      </w:r>
      <w:r w:rsidRPr="00A655C9">
        <w:rPr>
          <w:lang w:val="ru-RU"/>
        </w:rPr>
        <w:t xml:space="preserve"> на </w:t>
      </w:r>
      <w:r w:rsidRPr="00A71CB7">
        <w:rPr>
          <w:lang w:val="ru-RU"/>
        </w:rPr>
        <w:t xml:space="preserve">: </w:t>
      </w:r>
      <w:r w:rsidRPr="00A655C9">
        <w:rPr>
          <w:lang w:val="ru-RU"/>
        </w:rPr>
        <w:t>цифровия единен пазар; оперативна</w:t>
      </w:r>
      <w:r w:rsidRPr="00FA39D0">
        <w:t>та</w:t>
      </w:r>
      <w:r w:rsidRPr="00A655C9">
        <w:rPr>
          <w:lang w:val="ru-RU"/>
        </w:rPr>
        <w:t xml:space="preserve"> съвместимост и стандарти; доверие и сигурност; бърз и свръхбърз достъп до интернет; научни изследвания и иновации; цифрова грамотност, умения и социално при</w:t>
      </w:r>
      <w:r>
        <w:rPr>
          <w:lang w:val="ru-RU"/>
        </w:rPr>
        <w:t>общаване и</w:t>
      </w:r>
      <w:r w:rsidRPr="00A655C9">
        <w:rPr>
          <w:lang w:val="ru-RU"/>
        </w:rPr>
        <w:t xml:space="preserve"> ИКТ ползи за обществото в ЕС. Това, съчетано</w:t>
      </w:r>
      <w:r w:rsidRPr="00FA39D0">
        <w:t xml:space="preserve"> с </w:t>
      </w:r>
      <w:r w:rsidRPr="00A655C9">
        <w:rPr>
          <w:lang w:val="ru-RU"/>
        </w:rPr>
        <w:t xml:space="preserve"> набор от действия</w:t>
      </w:r>
      <w:r>
        <w:rPr>
          <w:lang w:val="ru-RU"/>
        </w:rPr>
        <w:t xml:space="preserve">, има за цел да стимулира </w:t>
      </w:r>
      <w:r w:rsidRPr="00A655C9">
        <w:rPr>
          <w:lang w:val="ru-RU"/>
        </w:rPr>
        <w:t xml:space="preserve"> положителна</w:t>
      </w:r>
      <w:r>
        <w:rPr>
          <w:lang w:val="ru-RU"/>
        </w:rPr>
        <w:t>та</w:t>
      </w:r>
      <w:r w:rsidRPr="00A655C9">
        <w:rPr>
          <w:lang w:val="ru-RU"/>
        </w:rPr>
        <w:t xml:space="preserve"> взаимозависимост на инвестиции</w:t>
      </w:r>
      <w:r>
        <w:rPr>
          <w:lang w:val="ru-RU"/>
        </w:rPr>
        <w:t>те</w:t>
      </w:r>
      <w:r w:rsidRPr="00A655C9">
        <w:rPr>
          <w:lang w:val="ru-RU"/>
        </w:rPr>
        <w:t xml:space="preserve"> в  </w:t>
      </w:r>
      <w:r w:rsidRPr="00FA39D0">
        <w:t xml:space="preserve">и </w:t>
      </w:r>
      <w:r w:rsidRPr="00A655C9">
        <w:rPr>
          <w:lang w:val="ru-RU"/>
        </w:rPr>
        <w:t>използването на цифрови</w:t>
      </w:r>
      <w:r w:rsidRPr="00FA39D0">
        <w:t>те</w:t>
      </w:r>
      <w:r w:rsidRPr="00A655C9">
        <w:rPr>
          <w:lang w:val="ru-RU"/>
        </w:rPr>
        <w:t xml:space="preserve"> технологии. </w:t>
      </w:r>
    </w:p>
    <w:p w:rsidR="003A08D1" w:rsidRDefault="003A08D1" w:rsidP="00FA39D0">
      <w:pPr>
        <w:pStyle w:val="Default"/>
        <w:jc w:val="both"/>
        <w:rPr>
          <w:lang w:val="ru-RU"/>
        </w:rPr>
      </w:pPr>
      <w:r w:rsidRPr="00FA39D0">
        <w:t xml:space="preserve"> </w:t>
      </w:r>
      <w:r w:rsidRPr="00A655C9">
        <w:rPr>
          <w:lang w:val="ru-RU"/>
        </w:rPr>
        <w:tab/>
      </w:r>
      <w:r w:rsidRPr="00FA39D0">
        <w:t xml:space="preserve">Анализа на резултата от изпълнението на ЦПЕ </w:t>
      </w:r>
      <w:r w:rsidRPr="00A655C9">
        <w:rPr>
          <w:lang w:val="ru-RU"/>
        </w:rPr>
        <w:t>оценява цялостното въздействие въз основа на 13 ключови цели за изпълнение и отчитане на напр</w:t>
      </w:r>
      <w:r>
        <w:rPr>
          <w:lang w:val="ru-RU"/>
        </w:rPr>
        <w:t>едъка на политическите действия</w:t>
      </w:r>
      <w:r w:rsidRPr="00A655C9">
        <w:rPr>
          <w:lang w:val="ru-RU"/>
        </w:rPr>
        <w:t xml:space="preserve"> </w:t>
      </w:r>
    </w:p>
    <w:p w:rsidR="003A08D1" w:rsidRPr="00B5592B" w:rsidRDefault="003A08D1" w:rsidP="00FA39D0">
      <w:pPr>
        <w:pStyle w:val="Default"/>
        <w:jc w:val="both"/>
      </w:pPr>
      <w:r>
        <w:rPr>
          <w:lang w:val="ru-RU"/>
        </w:rPr>
        <w:t xml:space="preserve"> </w:t>
      </w:r>
      <w:hyperlink r:id="rId8" w:history="1">
        <w:r w:rsidRPr="00FA39D0">
          <w:rPr>
            <w:rStyle w:val="Hyperlink"/>
          </w:rPr>
          <w:t>http://ec.europa.eu/information_society/digitalagenda/scoreboard/index_en.htm</w:t>
        </w:r>
      </w:hyperlink>
      <w:r>
        <w:t>.</w:t>
      </w:r>
      <w:r w:rsidRPr="00FA39D0">
        <w:t xml:space="preserve"> </w:t>
      </w:r>
      <w:r w:rsidRPr="00A655C9">
        <w:t xml:space="preserve"> </w:t>
      </w:r>
    </w:p>
    <w:p w:rsidR="003A08D1" w:rsidRPr="00FA39D0" w:rsidRDefault="003A08D1" w:rsidP="00FA39D0">
      <w:pPr>
        <w:pStyle w:val="Default"/>
        <w:jc w:val="both"/>
      </w:pPr>
      <w:r w:rsidRPr="00A655C9">
        <w:t xml:space="preserve"> </w:t>
      </w:r>
      <w:r w:rsidRPr="00A655C9">
        <w:tab/>
      </w:r>
      <w:r>
        <w:rPr>
          <w:lang w:val="ru-RU"/>
        </w:rPr>
        <w:t>За последните три години</w:t>
      </w:r>
      <w:r w:rsidRPr="00A655C9">
        <w:rPr>
          <w:lang w:val="ru-RU"/>
        </w:rPr>
        <w:t xml:space="preserve"> редовно</w:t>
      </w:r>
      <w:r>
        <w:t>то</w:t>
      </w:r>
      <w:r w:rsidRPr="00A655C9">
        <w:rPr>
          <w:lang w:val="ru-RU"/>
        </w:rPr>
        <w:t xml:space="preserve"> използване на Интернет нараства непрекъснато, особено сред групите </w:t>
      </w:r>
      <w:r>
        <w:rPr>
          <w:lang w:val="ru-RU"/>
        </w:rPr>
        <w:t>в неравностойно положение, а не</w:t>
      </w:r>
      <w:r w:rsidRPr="00A655C9">
        <w:rPr>
          <w:lang w:val="ru-RU"/>
        </w:rPr>
        <w:t>използване</w:t>
      </w:r>
      <w:r w:rsidRPr="00FA39D0">
        <w:t>то  намалява</w:t>
      </w:r>
      <w:r w:rsidRPr="00A655C9">
        <w:rPr>
          <w:lang w:val="ru-RU"/>
        </w:rPr>
        <w:t xml:space="preserve">.  </w:t>
      </w:r>
      <w:r w:rsidRPr="00FA39D0">
        <w:t>П</w:t>
      </w:r>
      <w:r w:rsidRPr="00A655C9">
        <w:rPr>
          <w:lang w:val="ru-RU"/>
        </w:rPr>
        <w:t>отребители</w:t>
      </w:r>
      <w:r w:rsidRPr="00FA39D0">
        <w:t>те</w:t>
      </w:r>
      <w:r>
        <w:rPr>
          <w:lang w:val="ru-RU"/>
        </w:rPr>
        <w:t xml:space="preserve"> </w:t>
      </w:r>
      <w:r w:rsidRPr="00FA39D0">
        <w:t>действат</w:t>
      </w:r>
      <w:r w:rsidRPr="00A655C9">
        <w:rPr>
          <w:lang w:val="ru-RU"/>
        </w:rPr>
        <w:t xml:space="preserve"> повече онлайн, по</w:t>
      </w:r>
      <w:r w:rsidRPr="00FA39D0">
        <w:t xml:space="preserve">вече </w:t>
      </w:r>
      <w:r w:rsidRPr="00A655C9">
        <w:rPr>
          <w:lang w:val="ru-RU"/>
        </w:rPr>
        <w:t xml:space="preserve">онлайн </w:t>
      </w:r>
      <w:r w:rsidRPr="00FA39D0">
        <w:t xml:space="preserve">пазаруват </w:t>
      </w:r>
      <w:r>
        <w:rPr>
          <w:lang w:val="ru-RU"/>
        </w:rPr>
        <w:t>и повече</w:t>
      </w:r>
      <w:r w:rsidRPr="00A655C9">
        <w:rPr>
          <w:lang w:val="ru-RU"/>
        </w:rPr>
        <w:t xml:space="preserve"> използва</w:t>
      </w:r>
      <w:r w:rsidRPr="00FA39D0">
        <w:t>т</w:t>
      </w:r>
      <w:r w:rsidRPr="00A655C9">
        <w:rPr>
          <w:lang w:val="ru-RU"/>
        </w:rPr>
        <w:t xml:space="preserve"> </w:t>
      </w:r>
      <w:r w:rsidRPr="00FA39D0">
        <w:t>услугите на</w:t>
      </w:r>
      <w:r w:rsidRPr="00A655C9">
        <w:rPr>
          <w:lang w:val="ru-RU"/>
        </w:rPr>
        <w:t xml:space="preserve"> електронното правителство. Роуминг цените падна</w:t>
      </w:r>
      <w:r w:rsidRPr="00FA39D0">
        <w:t>ха</w:t>
      </w:r>
      <w:r w:rsidRPr="00A655C9">
        <w:rPr>
          <w:lang w:val="ru-RU"/>
        </w:rPr>
        <w:t xml:space="preserve"> много по-бързо, отколкото в миналото, въпреки че това се дължи предимно на законодателството, а не </w:t>
      </w:r>
      <w:r w:rsidRPr="00FA39D0">
        <w:t xml:space="preserve">на </w:t>
      </w:r>
      <w:r w:rsidRPr="00A655C9">
        <w:rPr>
          <w:lang w:val="ru-RU"/>
        </w:rPr>
        <w:t xml:space="preserve"> нарастване на конкуренцията. </w:t>
      </w:r>
      <w:r w:rsidRPr="00FA39D0">
        <w:t xml:space="preserve">Основното </w:t>
      </w:r>
      <w:r w:rsidRPr="00A655C9">
        <w:rPr>
          <w:lang w:val="ru-RU"/>
        </w:rPr>
        <w:t>широколентово покритие е почти завършен</w:t>
      </w:r>
      <w:r w:rsidRPr="00FA39D0">
        <w:t>о</w:t>
      </w:r>
      <w:r w:rsidRPr="00A655C9">
        <w:rPr>
          <w:lang w:val="ru-RU"/>
        </w:rPr>
        <w:t xml:space="preserve">, въпреки че не </w:t>
      </w:r>
      <w:r w:rsidRPr="00FA39D0">
        <w:t>цялото</w:t>
      </w:r>
      <w:r w:rsidRPr="00A655C9">
        <w:rPr>
          <w:lang w:val="ru-RU"/>
        </w:rPr>
        <w:t xml:space="preserve"> се осигурява от фиксирани линии. </w:t>
      </w:r>
      <w:r w:rsidRPr="00FA39D0">
        <w:t>П</w:t>
      </w:r>
      <w:r w:rsidRPr="00A655C9">
        <w:rPr>
          <w:lang w:val="ru-RU"/>
        </w:rPr>
        <w:t>азарният дял на светодиоди</w:t>
      </w:r>
      <w:r w:rsidRPr="00FA39D0">
        <w:t xml:space="preserve">те </w:t>
      </w:r>
      <w:r w:rsidRPr="00A655C9">
        <w:rPr>
          <w:lang w:val="ru-RU"/>
        </w:rPr>
        <w:t xml:space="preserve"> продължава експанзията си. Във всички тези области, целите </w:t>
      </w:r>
      <w:r w:rsidRPr="00FA39D0">
        <w:t xml:space="preserve">на ЦПЕ </w:t>
      </w:r>
      <w:r w:rsidRPr="00A655C9">
        <w:rPr>
          <w:lang w:val="ru-RU"/>
        </w:rPr>
        <w:t>могат да бъдат постигнати.</w:t>
      </w:r>
    </w:p>
    <w:p w:rsidR="003A08D1" w:rsidRPr="00FA39D0" w:rsidRDefault="003A08D1" w:rsidP="00FA39D0">
      <w:pPr>
        <w:pStyle w:val="Default"/>
        <w:ind w:firstLine="708"/>
        <w:jc w:val="both"/>
      </w:pPr>
      <w:r w:rsidRPr="00FA39D0">
        <w:t>Въпреки т</w:t>
      </w:r>
      <w:r>
        <w:t xml:space="preserve">ова, не всички новини са добри. При сегашното темпо на изпълнение на една от целите- </w:t>
      </w:r>
      <w:r w:rsidRPr="00FA39D0">
        <w:t xml:space="preserve">20% от гражданите да пазаруват онлайн трансгранично до </w:t>
      </w:r>
      <w:smartTag w:uri="urn:schemas-microsoft-com:office:smarttags" w:element="metricconverter">
        <w:smartTagPr>
          <w:attr w:name="ProductID" w:val="2015 г"/>
        </w:smartTagPr>
        <w:r w:rsidRPr="00FA39D0">
          <w:t>2015 г</w:t>
        </w:r>
      </w:smartTag>
      <w:r>
        <w:t xml:space="preserve">. със </w:t>
      </w:r>
      <w:r w:rsidRPr="00FA39D0">
        <w:t>сигурно</w:t>
      </w:r>
      <w:r>
        <w:t>ст  няма да бъде изпълнена</w:t>
      </w:r>
      <w:r w:rsidRPr="00FA39D0">
        <w:t>. Аналогично, делът на малките и средни предприятия (МСП), които продават онлайн</w:t>
      </w:r>
      <w:r>
        <w:t>,</w:t>
      </w:r>
      <w:r w:rsidRPr="00FA39D0">
        <w:t xml:space="preserve"> вероятно ще остане далеч под целта от 33% до 2015 година.</w:t>
      </w:r>
    </w:p>
    <w:p w:rsidR="003A08D1" w:rsidRPr="00FA39D0" w:rsidRDefault="003A08D1" w:rsidP="00FA39D0">
      <w:pPr>
        <w:pStyle w:val="Default"/>
        <w:ind w:firstLine="708"/>
        <w:jc w:val="both"/>
      </w:pPr>
      <w:r>
        <w:t xml:space="preserve">За целите с хоризонт </w:t>
      </w:r>
      <w:smartTag w:uri="urn:schemas-microsoft-com:office:smarttags" w:element="metricconverter">
        <w:smartTagPr>
          <w:attr w:name="ProductID" w:val="2020 г"/>
        </w:smartTagPr>
        <w:r>
          <w:t>2020 г</w:t>
        </w:r>
      </w:smartTag>
      <w:r>
        <w:t xml:space="preserve">. </w:t>
      </w:r>
      <w:r w:rsidRPr="00FA39D0">
        <w:t>още е твърде рано да се каже. Потреблението</w:t>
      </w:r>
      <w:r>
        <w:t xml:space="preserve"> на високоскоростен </w:t>
      </w:r>
      <w:r w:rsidRPr="00FA39D0">
        <w:t xml:space="preserve"> интернет е започнало да се увеличава, но все още е много далеч от нивата, очаквани през 2020.</w:t>
      </w:r>
    </w:p>
    <w:p w:rsidR="003A08D1" w:rsidRPr="00EA5D70" w:rsidRDefault="003A08D1" w:rsidP="00EA5D70">
      <w:pPr>
        <w:pStyle w:val="Default"/>
        <w:ind w:firstLine="708"/>
        <w:jc w:val="both"/>
      </w:pPr>
      <w:r w:rsidRPr="00FA39D0">
        <w:t>Научно-изследователската дейност (</w:t>
      </w:r>
      <w:r w:rsidRPr="00FA39D0">
        <w:rPr>
          <w:lang w:val="en-US"/>
        </w:rPr>
        <w:t>R</w:t>
      </w:r>
      <w:r w:rsidRPr="00A655C9">
        <w:rPr>
          <w:lang w:val="ru-RU"/>
        </w:rPr>
        <w:t xml:space="preserve"> &amp; </w:t>
      </w:r>
      <w:r w:rsidRPr="00FA39D0">
        <w:rPr>
          <w:lang w:val="en-US"/>
        </w:rPr>
        <w:t>D</w:t>
      </w:r>
      <w:r w:rsidRPr="00FA39D0">
        <w:t>)</w:t>
      </w:r>
      <w:r w:rsidRPr="00A655C9">
        <w:rPr>
          <w:lang w:val="ru-RU"/>
        </w:rPr>
        <w:t xml:space="preserve"> в областта на ИКТ </w:t>
      </w:r>
      <w:r w:rsidRPr="00FA39D0">
        <w:t>е</w:t>
      </w:r>
      <w:r w:rsidRPr="00A655C9">
        <w:rPr>
          <w:lang w:val="ru-RU"/>
        </w:rPr>
        <w:t xml:space="preserve"> нараснал</w:t>
      </w:r>
      <w:r w:rsidRPr="00FA39D0">
        <w:t>а</w:t>
      </w:r>
      <w:r>
        <w:rPr>
          <w:lang w:val="ru-RU"/>
        </w:rPr>
        <w:t>, но не с необходимия  темп на растеж</w:t>
      </w:r>
      <w:r w:rsidRPr="00FA39D0">
        <w:t>,</w:t>
      </w:r>
      <w:r>
        <w:t xml:space="preserve"> </w:t>
      </w:r>
      <w:r w:rsidRPr="00FA39D0">
        <w:t xml:space="preserve"> който се изисква </w:t>
      </w:r>
      <w:r w:rsidRPr="00A655C9">
        <w:rPr>
          <w:lang w:val="ru-RU"/>
        </w:rPr>
        <w:t xml:space="preserve"> удво</w:t>
      </w:r>
      <w:r w:rsidRPr="00FA39D0">
        <w:t>яване</w:t>
      </w:r>
      <w:r w:rsidRPr="00A655C9">
        <w:rPr>
          <w:lang w:val="ru-RU"/>
        </w:rPr>
        <w:t xml:space="preserve"> до 2020 година.</w:t>
      </w:r>
    </w:p>
    <w:p w:rsidR="003A08D1" w:rsidRPr="00FA39D0" w:rsidRDefault="003A08D1" w:rsidP="00FA39D0">
      <w:pPr>
        <w:pStyle w:val="Default"/>
        <w:jc w:val="both"/>
      </w:pPr>
    </w:p>
    <w:p w:rsidR="003A08D1" w:rsidRDefault="003A08D1" w:rsidP="007D161E">
      <w:pPr>
        <w:pStyle w:val="Default"/>
        <w:jc w:val="both"/>
        <w:rPr>
          <w:b/>
          <w:bCs/>
        </w:rPr>
      </w:pPr>
      <w:r w:rsidRPr="00FA39D0">
        <w:rPr>
          <w:b/>
          <w:bCs/>
        </w:rPr>
        <w:t>Ключови цели за изпълнение</w:t>
      </w:r>
    </w:p>
    <w:p w:rsidR="003A08D1" w:rsidRDefault="003A08D1" w:rsidP="007D161E">
      <w:pPr>
        <w:pStyle w:val="Default"/>
        <w:jc w:val="both"/>
        <w:rPr>
          <w:b/>
          <w:bCs/>
        </w:rPr>
      </w:pPr>
    </w:p>
    <w:p w:rsidR="003A08D1" w:rsidRPr="00A37F25" w:rsidRDefault="003A08D1" w:rsidP="00A37F25">
      <w:pPr>
        <w:pStyle w:val="Default"/>
        <w:ind w:firstLine="708"/>
        <w:jc w:val="both"/>
      </w:pPr>
      <w:r>
        <w:rPr>
          <w:bCs/>
        </w:rPr>
        <w:t>В ЦПЕ</w:t>
      </w:r>
      <w:r w:rsidRPr="00FA39D0">
        <w:rPr>
          <w:bCs/>
        </w:rPr>
        <w:t xml:space="preserve"> са посочени набор от индикатори които предоставят числови данни за напредъка в избрани ключови  области (широколентов достъп, приобщаване към цифровото общество, цифров единен пазар, публични услуги, научни изследвания и иновации и икономика с ниски емисии на въглероден двуокис)</w:t>
      </w:r>
      <w:r>
        <w:rPr>
          <w:bCs/>
        </w:rPr>
        <w:t>.</w:t>
      </w:r>
    </w:p>
    <w:p w:rsidR="003A08D1" w:rsidRPr="00FA39D0" w:rsidRDefault="003A08D1" w:rsidP="00FA39D0">
      <w:pPr>
        <w:pStyle w:val="Default"/>
        <w:jc w:val="both"/>
        <w:rPr>
          <w:b/>
          <w:bCs/>
        </w:rPr>
      </w:pPr>
      <w:r w:rsidRPr="00F532F5">
        <w:rPr>
          <w:b/>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i1025" type="#_x0000_t75" alt="https://ec.europa.eu/digital-agenda/sites/digital-agenda/files/Digital%20Agenda%20Targets%20Overall%202013%20v10%20with%20scale_2.jpg" style="width:535.5pt;height:366pt;visibility:visible">
            <v:imagedata r:id="rId9" o:title=""/>
          </v:shape>
        </w:pict>
      </w:r>
    </w:p>
    <w:p w:rsidR="003A08D1" w:rsidRPr="00FA39D0" w:rsidRDefault="003A08D1" w:rsidP="00FA39D0">
      <w:pPr>
        <w:pStyle w:val="Default"/>
        <w:jc w:val="both"/>
      </w:pPr>
    </w:p>
    <w:p w:rsidR="003A08D1" w:rsidRPr="00FA39D0" w:rsidRDefault="003A08D1" w:rsidP="00FA39D0">
      <w:pPr>
        <w:pStyle w:val="Default"/>
        <w:jc w:val="both"/>
        <w:rPr>
          <w:b/>
        </w:rPr>
      </w:pPr>
      <w:r w:rsidRPr="00FA39D0">
        <w:t xml:space="preserve"> </w:t>
      </w:r>
      <w:r w:rsidRPr="00FA39D0">
        <w:rPr>
          <w:b/>
          <w:bCs/>
        </w:rPr>
        <w:t>Ключова цел 1</w:t>
      </w:r>
      <w:r>
        <w:t>:</w:t>
      </w:r>
      <w:r w:rsidRPr="00FA39D0">
        <w:t xml:space="preserve"> </w:t>
      </w:r>
      <w:r w:rsidRPr="00FA39D0">
        <w:rPr>
          <w:b/>
        </w:rPr>
        <w:t>Целият ЕС да бъде покрит с широколентов интернет до 2013</w:t>
      </w:r>
    </w:p>
    <w:p w:rsidR="003A08D1" w:rsidRPr="00FA39D0" w:rsidRDefault="003A08D1" w:rsidP="00FA39D0">
      <w:pPr>
        <w:pStyle w:val="Default"/>
        <w:jc w:val="both"/>
      </w:pPr>
    </w:p>
    <w:p w:rsidR="003A08D1" w:rsidRPr="00A655C9" w:rsidRDefault="003A08D1" w:rsidP="007D161E">
      <w:pPr>
        <w:pStyle w:val="Default"/>
        <w:ind w:firstLine="708"/>
        <w:jc w:val="both"/>
        <w:rPr>
          <w:lang w:val="ru-RU"/>
        </w:rPr>
      </w:pPr>
      <w:r w:rsidRPr="00A655C9">
        <w:rPr>
          <w:lang w:val="ru-RU"/>
        </w:rPr>
        <w:t xml:space="preserve">Покритието </w:t>
      </w:r>
      <w:r w:rsidRPr="00FA39D0">
        <w:t>с</w:t>
      </w:r>
      <w:r w:rsidRPr="00A655C9">
        <w:rPr>
          <w:lang w:val="ru-RU"/>
        </w:rPr>
        <w:t xml:space="preserve"> фиксирани широколентови мрежи е стабилн</w:t>
      </w:r>
      <w:r w:rsidRPr="00FA39D0">
        <w:t>о</w:t>
      </w:r>
      <w:r w:rsidRPr="00A655C9">
        <w:rPr>
          <w:lang w:val="ru-RU"/>
        </w:rPr>
        <w:t xml:space="preserve"> през </w:t>
      </w:r>
      <w:smartTag w:uri="urn:schemas-microsoft-com:office:smarttags" w:element="metricconverter">
        <w:smartTagPr>
          <w:attr w:name="ProductID" w:val="2012 г"/>
        </w:smartTagPr>
        <w:r w:rsidRPr="00A655C9">
          <w:rPr>
            <w:lang w:val="ru-RU"/>
          </w:rPr>
          <w:t>2012 г</w:t>
        </w:r>
      </w:smartTag>
      <w:r w:rsidRPr="00A655C9">
        <w:rPr>
          <w:lang w:val="ru-RU"/>
        </w:rPr>
        <w:t xml:space="preserve">. </w:t>
      </w:r>
      <w:r w:rsidRPr="00FA39D0">
        <w:t>з</w:t>
      </w:r>
      <w:r w:rsidRPr="00A655C9">
        <w:rPr>
          <w:lang w:val="ru-RU"/>
        </w:rPr>
        <w:t>а 95,5% от населението на Европа. Градските</w:t>
      </w:r>
      <w:r w:rsidRPr="00FA39D0">
        <w:t xml:space="preserve"> жители</w:t>
      </w:r>
      <w:r w:rsidRPr="00A655C9">
        <w:rPr>
          <w:lang w:val="ru-RU"/>
        </w:rPr>
        <w:t xml:space="preserve"> на всички държави-членки на ЕС са добре </w:t>
      </w:r>
      <w:r w:rsidRPr="00FA39D0">
        <w:t>покрити</w:t>
      </w:r>
      <w:r w:rsidRPr="00A655C9">
        <w:rPr>
          <w:lang w:val="ru-RU"/>
        </w:rPr>
        <w:t>, но</w:t>
      </w:r>
      <w:r>
        <w:t xml:space="preserve"> за</w:t>
      </w:r>
      <w:r w:rsidRPr="00A655C9">
        <w:rPr>
          <w:lang w:val="ru-RU"/>
        </w:rPr>
        <w:t xml:space="preserve"> селските</w:t>
      </w:r>
      <w:r>
        <w:t xml:space="preserve"> райони</w:t>
      </w:r>
      <w:r w:rsidRPr="00A655C9">
        <w:rPr>
          <w:lang w:val="ru-RU"/>
        </w:rPr>
        <w:t xml:space="preserve"> фиксиран</w:t>
      </w:r>
      <w:r w:rsidRPr="00FA39D0">
        <w:t>ото</w:t>
      </w:r>
      <w:r w:rsidRPr="00A655C9">
        <w:rPr>
          <w:lang w:val="ru-RU"/>
        </w:rPr>
        <w:t xml:space="preserve"> покритие все още </w:t>
      </w:r>
      <w:r w:rsidRPr="00FA39D0">
        <w:t xml:space="preserve">е </w:t>
      </w:r>
      <w:r w:rsidRPr="00A655C9">
        <w:rPr>
          <w:lang w:val="ru-RU"/>
        </w:rPr>
        <w:t xml:space="preserve">под 80% в 10 държави-членки на ЕС, </w:t>
      </w:r>
      <w:r w:rsidRPr="00FA39D0">
        <w:t>отбелязвайки</w:t>
      </w:r>
      <w:r w:rsidRPr="00A655C9">
        <w:rPr>
          <w:lang w:val="ru-RU"/>
        </w:rPr>
        <w:t xml:space="preserve"> </w:t>
      </w:r>
      <w:r w:rsidRPr="00FA39D0">
        <w:t xml:space="preserve">пропуск </w:t>
      </w:r>
      <w:r w:rsidRPr="00A655C9">
        <w:rPr>
          <w:lang w:val="ru-RU"/>
        </w:rPr>
        <w:t>в използването на структурните фондове, въпреки че т</w:t>
      </w:r>
      <w:r w:rsidRPr="00FA39D0">
        <w:t>о</w:t>
      </w:r>
      <w:r w:rsidRPr="00A655C9">
        <w:rPr>
          <w:lang w:val="ru-RU"/>
        </w:rPr>
        <w:t xml:space="preserve"> </w:t>
      </w:r>
      <w:r>
        <w:t>нарас</w:t>
      </w:r>
      <w:r w:rsidRPr="00FA39D0">
        <w:t xml:space="preserve">на </w:t>
      </w:r>
      <w:r w:rsidRPr="00A655C9">
        <w:rPr>
          <w:lang w:val="ru-RU"/>
        </w:rPr>
        <w:t xml:space="preserve">на над 90% </w:t>
      </w:r>
      <w:r w:rsidRPr="00FA39D0">
        <w:t>за</w:t>
      </w:r>
      <w:r w:rsidRPr="00A655C9">
        <w:rPr>
          <w:lang w:val="ru-RU"/>
        </w:rPr>
        <w:t xml:space="preserve"> всички, </w:t>
      </w:r>
      <w:r>
        <w:t>без</w:t>
      </w:r>
      <w:r w:rsidRPr="00A655C9">
        <w:rPr>
          <w:lang w:val="ru-RU"/>
        </w:rPr>
        <w:t xml:space="preserve"> три (</w:t>
      </w:r>
      <w:r>
        <w:rPr>
          <w:lang w:val="ru-RU"/>
        </w:rPr>
        <w:t>Словакия, Чехия и Естония), ако</w:t>
      </w:r>
      <w:r w:rsidRPr="00FA39D0">
        <w:t xml:space="preserve"> се включи </w:t>
      </w:r>
      <w:r w:rsidRPr="00A655C9">
        <w:rPr>
          <w:lang w:val="ru-RU"/>
        </w:rPr>
        <w:t>мобилно</w:t>
      </w:r>
      <w:r w:rsidRPr="00FA39D0">
        <w:t>то</w:t>
      </w:r>
      <w:r w:rsidRPr="00A655C9">
        <w:rPr>
          <w:lang w:val="ru-RU"/>
        </w:rPr>
        <w:t xml:space="preserve"> покритие в селските райони. Включ</w:t>
      </w:r>
      <w:r w:rsidRPr="00FA39D0">
        <w:t xml:space="preserve">вайки </w:t>
      </w:r>
      <w:r w:rsidRPr="00A655C9">
        <w:rPr>
          <w:lang w:val="ru-RU"/>
        </w:rPr>
        <w:t>и с</w:t>
      </w:r>
      <w:r>
        <w:rPr>
          <w:lang w:val="ru-RU"/>
        </w:rPr>
        <w:t>ателитни технологии, покритието</w:t>
      </w:r>
      <w:r w:rsidRPr="00A655C9">
        <w:rPr>
          <w:lang w:val="ru-RU"/>
        </w:rPr>
        <w:t xml:space="preserve"> почти </w:t>
      </w:r>
      <w:r>
        <w:t>е завършено над</w:t>
      </w:r>
      <w:r w:rsidRPr="00FA39D0">
        <w:t xml:space="preserve"> </w:t>
      </w:r>
      <w:r w:rsidRPr="00A655C9">
        <w:rPr>
          <w:lang w:val="ru-RU"/>
        </w:rPr>
        <w:t>99,9%, но сателитн</w:t>
      </w:r>
      <w:r>
        <w:t>ото</w:t>
      </w:r>
      <w:r w:rsidRPr="00A655C9">
        <w:rPr>
          <w:lang w:val="ru-RU"/>
        </w:rPr>
        <w:t xml:space="preserve"> </w:t>
      </w:r>
      <w:r>
        <w:t>потребление</w:t>
      </w:r>
      <w:r w:rsidRPr="00FA39D0">
        <w:t xml:space="preserve"> </w:t>
      </w:r>
      <w:r w:rsidRPr="00A655C9">
        <w:rPr>
          <w:lang w:val="ru-RU"/>
        </w:rPr>
        <w:t>все още не е широко разпространен</w:t>
      </w:r>
      <w:r w:rsidRPr="00FA39D0">
        <w:t>о</w:t>
      </w:r>
      <w:r w:rsidRPr="00A655C9">
        <w:rPr>
          <w:lang w:val="ru-RU"/>
        </w:rPr>
        <w:t xml:space="preserve"> в селските райони.</w:t>
      </w:r>
    </w:p>
    <w:p w:rsidR="003A08D1" w:rsidRPr="00A655C9" w:rsidRDefault="003A08D1" w:rsidP="007D161E">
      <w:pPr>
        <w:pStyle w:val="Default"/>
        <w:ind w:firstLine="708"/>
        <w:jc w:val="both"/>
        <w:rPr>
          <w:lang w:val="ru-RU"/>
        </w:rPr>
      </w:pPr>
      <w:r>
        <w:rPr>
          <w:lang w:val="ru-RU"/>
        </w:rPr>
        <w:t>В същото време, има все повече</w:t>
      </w:r>
      <w:r w:rsidRPr="00A655C9">
        <w:rPr>
          <w:lang w:val="ru-RU"/>
        </w:rPr>
        <w:t xml:space="preserve"> публични схеми за финансиране в подкрепа </w:t>
      </w:r>
      <w:r w:rsidRPr="00FA39D0">
        <w:t xml:space="preserve">на </w:t>
      </w:r>
      <w:r w:rsidRPr="00A655C9">
        <w:rPr>
          <w:lang w:val="ru-RU"/>
        </w:rPr>
        <w:t xml:space="preserve">широколентовите услуги в Европа, но те са концентрирани в Обединеното кралство, Италия и Германия. През </w:t>
      </w:r>
      <w:smartTag w:uri="urn:schemas-microsoft-com:office:smarttags" w:element="metricconverter">
        <w:smartTagPr>
          <w:attr w:name="ProductID" w:val="2012 г"/>
        </w:smartTagPr>
        <w:r w:rsidRPr="00A655C9">
          <w:rPr>
            <w:lang w:val="ru-RU"/>
          </w:rPr>
          <w:t>2012 г</w:t>
        </w:r>
      </w:smartTag>
      <w:r w:rsidRPr="00A655C9">
        <w:rPr>
          <w:lang w:val="ru-RU"/>
        </w:rPr>
        <w:t xml:space="preserve">. Европейската комисия взе 21 решения по отношение на проекти за широколентов достъп, свързани с публично финансиране. Общият размер на </w:t>
      </w:r>
      <w:r w:rsidRPr="00FA39D0">
        <w:t xml:space="preserve">държавната помощ, </w:t>
      </w:r>
      <w:r w:rsidRPr="00A655C9">
        <w:rPr>
          <w:lang w:val="ru-RU"/>
        </w:rPr>
        <w:t>одобрен</w:t>
      </w:r>
      <w:r w:rsidRPr="00FA39D0">
        <w:t>а</w:t>
      </w:r>
      <w:r w:rsidRPr="00A655C9">
        <w:rPr>
          <w:lang w:val="ru-RU"/>
        </w:rPr>
        <w:t xml:space="preserve"> през </w:t>
      </w:r>
      <w:smartTag w:uri="urn:schemas-microsoft-com:office:smarttags" w:element="metricconverter">
        <w:smartTagPr>
          <w:attr w:name="ProductID" w:val="2012 г"/>
        </w:smartTagPr>
        <w:r w:rsidRPr="00A655C9">
          <w:rPr>
            <w:lang w:val="ru-RU"/>
          </w:rPr>
          <w:t>2012 г</w:t>
        </w:r>
      </w:smartTag>
      <w:r w:rsidRPr="00A655C9">
        <w:rPr>
          <w:lang w:val="ru-RU"/>
        </w:rPr>
        <w:t xml:space="preserve">. е около € 6.5 млрд., което </w:t>
      </w:r>
      <w:r>
        <w:rPr>
          <w:lang w:val="en-US"/>
        </w:rPr>
        <w:t>e</w:t>
      </w:r>
      <w:r w:rsidRPr="00A655C9">
        <w:rPr>
          <w:lang w:val="ru-RU"/>
        </w:rPr>
        <w:t xml:space="preserve"> три пъти </w:t>
      </w:r>
      <w:r w:rsidRPr="00FA39D0">
        <w:t xml:space="preserve">повече </w:t>
      </w:r>
      <w:r w:rsidRPr="00A655C9">
        <w:rPr>
          <w:lang w:val="ru-RU"/>
        </w:rPr>
        <w:t>от</w:t>
      </w:r>
      <w:r>
        <w:t xml:space="preserve"> предната</w:t>
      </w:r>
      <w:r w:rsidRPr="00A655C9">
        <w:rPr>
          <w:lang w:val="ru-RU"/>
        </w:rPr>
        <w:t xml:space="preserve"> година, € 6 млрд.</w:t>
      </w:r>
      <w:r>
        <w:rPr>
          <w:lang w:val="ru-RU"/>
        </w:rPr>
        <w:t>,</w:t>
      </w:r>
      <w:r w:rsidRPr="00A655C9">
        <w:rPr>
          <w:lang w:val="ru-RU"/>
        </w:rPr>
        <w:t xml:space="preserve"> от които се пада</w:t>
      </w:r>
      <w:r w:rsidRPr="00FA39D0">
        <w:t>т</w:t>
      </w:r>
      <w:r w:rsidRPr="00A655C9">
        <w:rPr>
          <w:lang w:val="ru-RU"/>
        </w:rPr>
        <w:t xml:space="preserve"> на трите държави-членки, споменати</w:t>
      </w:r>
      <w:r w:rsidRPr="00FA39D0">
        <w:t xml:space="preserve"> по-горе</w:t>
      </w:r>
      <w:r w:rsidRPr="00A655C9">
        <w:rPr>
          <w:lang w:val="ru-RU"/>
        </w:rPr>
        <w:t>.</w:t>
      </w:r>
    </w:p>
    <w:p w:rsidR="003A08D1" w:rsidRPr="00FA39D0" w:rsidRDefault="003A08D1" w:rsidP="00FA39D0">
      <w:pPr>
        <w:pStyle w:val="Default"/>
        <w:jc w:val="both"/>
      </w:pPr>
    </w:p>
    <w:p w:rsidR="003A08D1" w:rsidRPr="00E30623" w:rsidRDefault="003A08D1" w:rsidP="00FA39D0">
      <w:pPr>
        <w:pStyle w:val="Default"/>
        <w:jc w:val="both"/>
        <w:rPr>
          <w:color w:val="auto"/>
          <w:lang w:val="ru-RU"/>
        </w:rPr>
      </w:pPr>
      <w:r>
        <w:rPr>
          <w:b/>
          <w:color w:val="auto"/>
          <w:lang w:val="ru-RU"/>
        </w:rPr>
        <w:t xml:space="preserve">Ключови цели </w:t>
      </w:r>
      <w:r w:rsidRPr="00A655C9">
        <w:rPr>
          <w:b/>
          <w:color w:val="auto"/>
          <w:lang w:val="ru-RU"/>
        </w:rPr>
        <w:t xml:space="preserve">2 </w:t>
      </w:r>
      <w:r>
        <w:rPr>
          <w:b/>
          <w:color w:val="auto"/>
        </w:rPr>
        <w:t>и</w:t>
      </w:r>
      <w:r w:rsidRPr="00A655C9">
        <w:rPr>
          <w:b/>
          <w:color w:val="auto"/>
          <w:lang w:val="ru-RU"/>
        </w:rPr>
        <w:t xml:space="preserve"> 3</w:t>
      </w:r>
      <w:r>
        <w:rPr>
          <w:b/>
          <w:color w:val="auto"/>
          <w:lang w:val="ru-RU"/>
        </w:rPr>
        <w:t>: Ц</w:t>
      </w:r>
      <w:r w:rsidRPr="00E30623">
        <w:rPr>
          <w:b/>
          <w:color w:val="auto"/>
          <w:lang w:val="ru-RU"/>
        </w:rPr>
        <w:t xml:space="preserve">елия ЕС да бъде </w:t>
      </w:r>
      <w:r w:rsidRPr="00E30623">
        <w:rPr>
          <w:b/>
          <w:color w:val="auto"/>
        </w:rPr>
        <w:t xml:space="preserve">покрит с </w:t>
      </w:r>
      <w:r w:rsidRPr="00E30623">
        <w:rPr>
          <w:b/>
          <w:color w:val="auto"/>
          <w:lang w:val="ru-RU"/>
        </w:rPr>
        <w:t xml:space="preserve"> широколентов</w:t>
      </w:r>
      <w:r>
        <w:rPr>
          <w:b/>
          <w:color w:val="auto"/>
        </w:rPr>
        <w:t xml:space="preserve"> интернет</w:t>
      </w:r>
      <w:r w:rsidRPr="00E30623">
        <w:rPr>
          <w:b/>
          <w:color w:val="auto"/>
          <w:lang w:val="ru-RU"/>
        </w:rPr>
        <w:t xml:space="preserve"> над 30 </w:t>
      </w:r>
      <w:r w:rsidRPr="00E30623">
        <w:rPr>
          <w:b/>
          <w:color w:val="auto"/>
          <w:lang w:val="en-US"/>
        </w:rPr>
        <w:t>Mbps</w:t>
      </w:r>
      <w:r w:rsidRPr="00E30623">
        <w:rPr>
          <w:b/>
          <w:color w:val="auto"/>
          <w:lang w:val="ru-RU"/>
        </w:rPr>
        <w:t xml:space="preserve"> до </w:t>
      </w:r>
      <w:smartTag w:uri="urn:schemas-microsoft-com:office:smarttags" w:element="metricconverter">
        <w:smartTagPr>
          <w:attr w:name="ProductID" w:val="2020 г"/>
        </w:smartTagPr>
        <w:r w:rsidRPr="00E30623">
          <w:rPr>
            <w:b/>
            <w:color w:val="auto"/>
            <w:lang w:val="ru-RU"/>
          </w:rPr>
          <w:t>2020 г</w:t>
        </w:r>
      </w:smartTag>
      <w:r>
        <w:rPr>
          <w:b/>
          <w:color w:val="auto"/>
          <w:lang w:val="ru-RU"/>
        </w:rPr>
        <w:t>. и 50% от ЕС да се абонира за</w:t>
      </w:r>
      <w:r w:rsidRPr="00E30623">
        <w:rPr>
          <w:b/>
          <w:color w:val="auto"/>
        </w:rPr>
        <w:t xml:space="preserve"> над </w:t>
      </w:r>
      <w:r w:rsidRPr="00E30623">
        <w:rPr>
          <w:b/>
          <w:color w:val="auto"/>
          <w:lang w:val="ru-RU"/>
        </w:rPr>
        <w:t xml:space="preserve">100 </w:t>
      </w:r>
      <w:r w:rsidRPr="00E30623">
        <w:rPr>
          <w:b/>
          <w:color w:val="auto"/>
          <w:lang w:val="en-US"/>
        </w:rPr>
        <w:t>Mbps</w:t>
      </w:r>
      <w:r w:rsidRPr="00E30623">
        <w:rPr>
          <w:b/>
          <w:color w:val="auto"/>
          <w:lang w:val="ru-RU"/>
        </w:rPr>
        <w:t xml:space="preserve"> широколентов достъп до </w:t>
      </w:r>
      <w:smartTag w:uri="urn:schemas-microsoft-com:office:smarttags" w:element="metricconverter">
        <w:smartTagPr>
          <w:attr w:name="ProductID" w:val="2020 г"/>
        </w:smartTagPr>
        <w:r w:rsidRPr="00E30623">
          <w:rPr>
            <w:b/>
            <w:color w:val="auto"/>
            <w:lang w:val="ru-RU"/>
          </w:rPr>
          <w:t>2020</w:t>
        </w:r>
        <w:r>
          <w:rPr>
            <w:b/>
            <w:color w:val="auto"/>
            <w:lang w:val="ru-RU"/>
          </w:rPr>
          <w:t xml:space="preserve"> г</w:t>
        </w:r>
      </w:smartTag>
      <w:r>
        <w:rPr>
          <w:b/>
          <w:color w:val="auto"/>
          <w:lang w:val="ru-RU"/>
        </w:rPr>
        <w:t>.</w:t>
      </w:r>
    </w:p>
    <w:p w:rsidR="003A08D1" w:rsidRPr="00E30623" w:rsidRDefault="003A08D1" w:rsidP="00FA39D0">
      <w:pPr>
        <w:pStyle w:val="Default"/>
        <w:jc w:val="both"/>
        <w:rPr>
          <w:color w:val="auto"/>
          <w:lang w:val="ru-RU"/>
        </w:rPr>
      </w:pPr>
    </w:p>
    <w:p w:rsidR="003A08D1" w:rsidRDefault="003A08D1" w:rsidP="00FA39D0">
      <w:pPr>
        <w:pStyle w:val="Default"/>
        <w:ind w:firstLine="708"/>
        <w:jc w:val="both"/>
        <w:rPr>
          <w:color w:val="auto"/>
        </w:rPr>
      </w:pPr>
      <w:r w:rsidRPr="00E30623">
        <w:rPr>
          <w:color w:val="auto"/>
          <w:lang w:val="ru-RU"/>
        </w:rPr>
        <w:t>Високоскоростн</w:t>
      </w:r>
      <w:r w:rsidRPr="00E30623">
        <w:rPr>
          <w:color w:val="auto"/>
        </w:rPr>
        <w:t>ото</w:t>
      </w:r>
      <w:r w:rsidRPr="00E30623">
        <w:rPr>
          <w:color w:val="auto"/>
          <w:lang w:val="ru-RU"/>
        </w:rPr>
        <w:t xml:space="preserve"> широколентов</w:t>
      </w:r>
      <w:r w:rsidRPr="00E30623">
        <w:rPr>
          <w:color w:val="auto"/>
        </w:rPr>
        <w:t>о</w:t>
      </w:r>
      <w:r>
        <w:rPr>
          <w:color w:val="auto"/>
        </w:rPr>
        <w:t xml:space="preserve"> </w:t>
      </w:r>
      <w:r w:rsidRPr="00E30623">
        <w:rPr>
          <w:color w:val="auto"/>
        </w:rPr>
        <w:t xml:space="preserve">покритие </w:t>
      </w:r>
      <w:r>
        <w:rPr>
          <w:color w:val="auto"/>
          <w:lang w:val="ru-RU"/>
        </w:rPr>
        <w:t xml:space="preserve">и </w:t>
      </w:r>
      <w:r>
        <w:rPr>
          <w:color w:val="auto"/>
        </w:rPr>
        <w:t xml:space="preserve"> </w:t>
      </w:r>
      <w:r w:rsidRPr="007D161E">
        <w:rPr>
          <w:color w:val="auto"/>
        </w:rPr>
        <w:t>потребление</w:t>
      </w:r>
      <w:r w:rsidRPr="00E30623">
        <w:rPr>
          <w:color w:val="auto"/>
          <w:lang w:val="ru-RU"/>
        </w:rPr>
        <w:t xml:space="preserve"> се </w:t>
      </w:r>
      <w:r w:rsidRPr="00E30623">
        <w:rPr>
          <w:color w:val="auto"/>
        </w:rPr>
        <w:t>увеличава</w:t>
      </w:r>
      <w:r>
        <w:rPr>
          <w:color w:val="auto"/>
          <w:lang w:val="ru-RU"/>
        </w:rPr>
        <w:t>. Сега</w:t>
      </w:r>
      <w:r w:rsidRPr="00E30623">
        <w:rPr>
          <w:color w:val="auto"/>
          <w:lang w:val="ru-RU"/>
        </w:rPr>
        <w:t xml:space="preserve"> 54% от домакинствата имат достъп до бърз или свръхбърз (над 30 </w:t>
      </w:r>
      <w:r w:rsidRPr="00E30623">
        <w:rPr>
          <w:color w:val="auto"/>
          <w:lang w:val="en-US"/>
        </w:rPr>
        <w:t>Mbps</w:t>
      </w:r>
      <w:r w:rsidRPr="00E30623">
        <w:rPr>
          <w:color w:val="auto"/>
          <w:lang w:val="ru-RU"/>
        </w:rPr>
        <w:t xml:space="preserve">) интернет достъп, в сравнение с 49% миналата година. В действителност, 59% от всички фиксирани широколентови връзки вече осигуряват скорост от 10 </w:t>
      </w:r>
      <w:r w:rsidRPr="00E30623">
        <w:rPr>
          <w:color w:val="auto"/>
          <w:lang w:val="en-US"/>
        </w:rPr>
        <w:t>Mbps</w:t>
      </w:r>
      <w:r>
        <w:rPr>
          <w:color w:val="auto"/>
          <w:lang w:val="ru-RU"/>
        </w:rPr>
        <w:t xml:space="preserve"> и повече и</w:t>
      </w:r>
      <w:r w:rsidRPr="00E30623">
        <w:rPr>
          <w:color w:val="auto"/>
          <w:lang w:val="ru-RU"/>
        </w:rPr>
        <w:t xml:space="preserve"> дори растеж</w:t>
      </w:r>
      <w:r>
        <w:rPr>
          <w:color w:val="auto"/>
          <w:lang w:val="ru-RU"/>
        </w:rPr>
        <w:t>ът</w:t>
      </w:r>
      <w:r w:rsidRPr="00E30623">
        <w:rPr>
          <w:color w:val="auto"/>
          <w:lang w:val="ru-RU"/>
        </w:rPr>
        <w:t xml:space="preserve"> в широколентови абонаменти над 30 </w:t>
      </w:r>
      <w:r w:rsidRPr="00E30623">
        <w:rPr>
          <w:color w:val="auto"/>
          <w:lang w:val="en-US"/>
        </w:rPr>
        <w:t>Mbps</w:t>
      </w:r>
      <w:r w:rsidRPr="00E30623">
        <w:rPr>
          <w:color w:val="auto"/>
          <w:lang w:val="ru-RU"/>
        </w:rPr>
        <w:t xml:space="preserve">  излетя</w:t>
      </w:r>
      <w:r w:rsidRPr="00E30623">
        <w:rPr>
          <w:color w:val="auto"/>
        </w:rPr>
        <w:t xml:space="preserve"> нагоре</w:t>
      </w:r>
      <w:r w:rsidRPr="00E30623">
        <w:rPr>
          <w:color w:val="auto"/>
          <w:lang w:val="ru-RU"/>
        </w:rPr>
        <w:t xml:space="preserve">, </w:t>
      </w:r>
      <w:r w:rsidRPr="00E30623">
        <w:rPr>
          <w:color w:val="auto"/>
        </w:rPr>
        <w:t xml:space="preserve">като </w:t>
      </w:r>
      <w:r w:rsidRPr="00E30623">
        <w:rPr>
          <w:color w:val="auto"/>
          <w:lang w:val="ru-RU"/>
        </w:rPr>
        <w:t xml:space="preserve"> проникването ст</w:t>
      </w:r>
      <w:r w:rsidRPr="00E30623">
        <w:rPr>
          <w:color w:val="auto"/>
        </w:rPr>
        <w:t>иг</w:t>
      </w:r>
      <w:r>
        <w:rPr>
          <w:color w:val="auto"/>
        </w:rPr>
        <w:t>н</w:t>
      </w:r>
      <w:r w:rsidRPr="00E30623">
        <w:rPr>
          <w:color w:val="auto"/>
        </w:rPr>
        <w:t>а</w:t>
      </w:r>
      <w:r w:rsidRPr="00E30623">
        <w:rPr>
          <w:color w:val="auto"/>
          <w:lang w:val="ru-RU"/>
        </w:rPr>
        <w:t xml:space="preserve"> от 2,5% до 4,2% за една годи</w:t>
      </w:r>
      <w:r>
        <w:rPr>
          <w:color w:val="auto"/>
          <w:lang w:val="ru-RU"/>
        </w:rPr>
        <w:t xml:space="preserve">на. </w:t>
      </w:r>
      <w:r>
        <w:rPr>
          <w:color w:val="auto"/>
        </w:rPr>
        <w:t>С</w:t>
      </w:r>
      <w:r w:rsidRPr="00E30623">
        <w:rPr>
          <w:color w:val="auto"/>
          <w:lang w:val="ru-RU"/>
        </w:rPr>
        <w:t xml:space="preserve">ред първите шест държави-членки по отношение на технологии над 30 </w:t>
      </w:r>
      <w:r w:rsidRPr="00E30623">
        <w:rPr>
          <w:color w:val="auto"/>
          <w:lang w:val="en-US"/>
        </w:rPr>
        <w:t>Mbps</w:t>
      </w:r>
      <w:r>
        <w:rPr>
          <w:color w:val="auto"/>
        </w:rPr>
        <w:t xml:space="preserve"> са</w:t>
      </w:r>
      <w:r w:rsidRPr="00E30623">
        <w:rPr>
          <w:color w:val="auto"/>
          <w:lang w:val="ru-RU"/>
        </w:rPr>
        <w:t xml:space="preserve"> Литва, Латвия и Румъния, </w:t>
      </w:r>
      <w:r w:rsidRPr="00E30623">
        <w:rPr>
          <w:color w:val="auto"/>
        </w:rPr>
        <w:t xml:space="preserve">обратно на </w:t>
      </w:r>
      <w:r w:rsidRPr="00E30623">
        <w:rPr>
          <w:color w:val="auto"/>
          <w:lang w:val="ru-RU"/>
        </w:rPr>
        <w:t xml:space="preserve"> класиране</w:t>
      </w:r>
      <w:r>
        <w:rPr>
          <w:color w:val="auto"/>
        </w:rPr>
        <w:t>то</w:t>
      </w:r>
      <w:r w:rsidRPr="00E30623">
        <w:rPr>
          <w:color w:val="auto"/>
          <w:lang w:val="ru-RU"/>
        </w:rPr>
        <w:t xml:space="preserve"> за основен широколентов достъп. Най-бързият растеж </w:t>
      </w:r>
      <w:r>
        <w:rPr>
          <w:color w:val="auto"/>
        </w:rPr>
        <w:t>за</w:t>
      </w:r>
      <w:r w:rsidRPr="00E30623">
        <w:rPr>
          <w:color w:val="auto"/>
        </w:rPr>
        <w:t xml:space="preserve">сега </w:t>
      </w:r>
      <w:r w:rsidRPr="00E30623">
        <w:rPr>
          <w:color w:val="auto"/>
          <w:lang w:val="ru-RU"/>
        </w:rPr>
        <w:t>се наблюдава в Белгия, добавяйки 9,1 пункта за една година, което е повече от общ</w:t>
      </w:r>
      <w:r w:rsidRPr="00E30623">
        <w:rPr>
          <w:color w:val="auto"/>
        </w:rPr>
        <w:t>о</w:t>
      </w:r>
      <w:r w:rsidRPr="00E30623">
        <w:rPr>
          <w:color w:val="auto"/>
          <w:lang w:val="ru-RU"/>
        </w:rPr>
        <w:t xml:space="preserve"> постигнато</w:t>
      </w:r>
      <w:r>
        <w:rPr>
          <w:color w:val="auto"/>
          <w:lang w:val="ru-RU"/>
        </w:rPr>
        <w:t>то</w:t>
      </w:r>
      <w:r w:rsidRPr="00E30623">
        <w:rPr>
          <w:color w:val="auto"/>
          <w:lang w:val="ru-RU"/>
        </w:rPr>
        <w:t xml:space="preserve"> досега от 23 страни-членки. Италия и Гърция имат само маргинални високоскоростни широколентови абонаменти.</w:t>
      </w:r>
      <w:r>
        <w:rPr>
          <w:color w:val="auto"/>
          <w:lang w:val="ru-RU"/>
        </w:rPr>
        <w:t xml:space="preserve"> </w:t>
      </w:r>
      <w:r w:rsidRPr="00E30623">
        <w:rPr>
          <w:color w:val="auto"/>
        </w:rPr>
        <w:t xml:space="preserve">Свръхбързите </w:t>
      </w:r>
      <w:r w:rsidRPr="00E30623">
        <w:rPr>
          <w:color w:val="auto"/>
          <w:lang w:val="ru-RU"/>
        </w:rPr>
        <w:t xml:space="preserve">връзки над 100 </w:t>
      </w:r>
      <w:r w:rsidRPr="00E30623">
        <w:rPr>
          <w:color w:val="auto"/>
          <w:lang w:val="en-US"/>
        </w:rPr>
        <w:t>Mbps</w:t>
      </w:r>
      <w:r w:rsidRPr="00E30623">
        <w:rPr>
          <w:color w:val="auto"/>
          <w:lang w:val="ru-RU"/>
        </w:rPr>
        <w:t xml:space="preserve"> продължават да са много оскъдни, но са </w:t>
      </w:r>
      <w:r w:rsidRPr="00E30623">
        <w:rPr>
          <w:color w:val="auto"/>
        </w:rPr>
        <w:t>се</w:t>
      </w:r>
      <w:r w:rsidRPr="00E30623">
        <w:rPr>
          <w:color w:val="auto"/>
          <w:lang w:val="ru-RU"/>
        </w:rPr>
        <w:t xml:space="preserve"> удвоили от 1,6% до 3,4% от всички широколентови връзки.</w:t>
      </w:r>
    </w:p>
    <w:p w:rsidR="003A08D1" w:rsidRDefault="003A08D1" w:rsidP="00FA39D0">
      <w:pPr>
        <w:pStyle w:val="Default"/>
        <w:jc w:val="both"/>
      </w:pPr>
    </w:p>
    <w:p w:rsidR="003A08D1" w:rsidRDefault="003A08D1" w:rsidP="00CE5E98">
      <w:pPr>
        <w:pStyle w:val="Caption"/>
        <w:keepNext/>
        <w:spacing w:after="0"/>
        <w:jc w:val="center"/>
      </w:pPr>
      <w:bookmarkStart w:id="0" w:name="_Ref354755011"/>
      <w:bookmarkStart w:id="1" w:name="_Toc358572994"/>
      <w:bookmarkStart w:id="2" w:name="_Toc358639883"/>
      <w:r>
        <w:t xml:space="preserve">Figure </w:t>
      </w:r>
      <w:fldSimple w:instr=" SEQ Figure \* ARABIC ">
        <w:r>
          <w:rPr>
            <w:noProof/>
          </w:rPr>
          <w:t>2</w:t>
        </w:r>
      </w:fldSimple>
      <w:bookmarkEnd w:id="0"/>
      <w:r>
        <w:t>: High speed broadband penetration</w:t>
      </w:r>
      <w:bookmarkEnd w:id="1"/>
      <w:bookmarkEnd w:id="2"/>
    </w:p>
    <w:p w:rsidR="003A08D1" w:rsidRPr="007756D7" w:rsidRDefault="003A08D1" w:rsidP="00CE5E98">
      <w:pPr>
        <w:jc w:val="center"/>
      </w:pPr>
      <w:r w:rsidRPr="006264EB">
        <w:t xml:space="preserve"> </w:t>
      </w:r>
      <w:r>
        <w:rPr>
          <w:noProof/>
        </w:rPr>
        <w:pict>
          <v:shape id="Picture 10" o:spid="_x0000_i1026" type="#_x0000_t75" style="width:359.25pt;height:234.75pt;visibility:visible">
            <v:imagedata r:id="rId10" o:title=""/>
          </v:shape>
        </w:pict>
      </w:r>
    </w:p>
    <w:p w:rsidR="003A08D1" w:rsidRPr="00085642" w:rsidRDefault="003A08D1" w:rsidP="00CE5E98">
      <w:pPr>
        <w:autoSpaceDE w:val="0"/>
        <w:autoSpaceDN w:val="0"/>
        <w:adjustRightInd w:val="0"/>
        <w:jc w:val="center"/>
        <w:rPr>
          <w:i/>
          <w:sz w:val="20"/>
          <w:szCs w:val="20"/>
        </w:rPr>
      </w:pPr>
      <w:r w:rsidRPr="00085642">
        <w:rPr>
          <w:i/>
          <w:sz w:val="20"/>
          <w:szCs w:val="20"/>
        </w:rPr>
        <w:t>Source: Commission services based on COCOM. Total number of subscriptions by households and enterprises divided by population.</w:t>
      </w:r>
      <w:bookmarkStart w:id="3" w:name="DQCErrorScope913599CAA5B14289AE5FC0AA423"/>
    </w:p>
    <w:bookmarkEnd w:id="3"/>
    <w:p w:rsidR="003A08D1" w:rsidRPr="007C2807" w:rsidRDefault="003A08D1" w:rsidP="00CE5E98">
      <w:pPr>
        <w:jc w:val="both"/>
      </w:pPr>
    </w:p>
    <w:p w:rsidR="003A08D1" w:rsidRDefault="003A08D1" w:rsidP="00FA39D0">
      <w:pPr>
        <w:pStyle w:val="Default"/>
        <w:jc w:val="both"/>
        <w:rPr>
          <w:color w:val="auto"/>
        </w:rPr>
      </w:pPr>
    </w:p>
    <w:p w:rsidR="003A08D1" w:rsidRPr="00BB158E" w:rsidRDefault="003A08D1" w:rsidP="00FA39D0">
      <w:pPr>
        <w:pStyle w:val="Default"/>
        <w:jc w:val="both"/>
        <w:rPr>
          <w:b/>
          <w:color w:val="auto"/>
        </w:rPr>
      </w:pPr>
      <w:r>
        <w:rPr>
          <w:color w:val="auto"/>
        </w:rPr>
        <w:t xml:space="preserve"> </w:t>
      </w:r>
      <w:r>
        <w:rPr>
          <w:b/>
          <w:color w:val="auto"/>
          <w:lang w:val="ru-RU"/>
        </w:rPr>
        <w:t>Ключова цел</w:t>
      </w:r>
      <w:r w:rsidRPr="00BB158E">
        <w:rPr>
          <w:b/>
          <w:color w:val="auto"/>
          <w:lang w:val="ru-RU"/>
        </w:rPr>
        <w:t xml:space="preserve"> </w:t>
      </w:r>
      <w:r>
        <w:rPr>
          <w:b/>
          <w:color w:val="auto"/>
        </w:rPr>
        <w:t>4</w:t>
      </w:r>
      <w:r w:rsidRPr="00BB158E">
        <w:rPr>
          <w:b/>
          <w:color w:val="auto"/>
        </w:rPr>
        <w:t xml:space="preserve">: 50% от населението  да купуват онлайн до </w:t>
      </w:r>
      <w:smartTag w:uri="urn:schemas-microsoft-com:office:smarttags" w:element="metricconverter">
        <w:smartTagPr>
          <w:attr w:name="ProductID" w:val="2015 г"/>
        </w:smartTagPr>
        <w:r w:rsidRPr="00BB158E">
          <w:rPr>
            <w:b/>
            <w:color w:val="auto"/>
          </w:rPr>
          <w:t>2015 г</w:t>
        </w:r>
      </w:smartTag>
      <w:r w:rsidRPr="00BB158E">
        <w:rPr>
          <w:b/>
          <w:color w:val="auto"/>
        </w:rPr>
        <w:t>.</w:t>
      </w:r>
    </w:p>
    <w:p w:rsidR="003A08D1" w:rsidRDefault="003A08D1" w:rsidP="00FA39D0">
      <w:pPr>
        <w:pStyle w:val="Default"/>
        <w:ind w:firstLine="708"/>
        <w:jc w:val="both"/>
        <w:rPr>
          <w:color w:val="auto"/>
        </w:rPr>
      </w:pPr>
      <w:r w:rsidRPr="00E30623">
        <w:rPr>
          <w:color w:val="auto"/>
        </w:rPr>
        <w:t>На</w:t>
      </w:r>
      <w:r>
        <w:rPr>
          <w:color w:val="auto"/>
        </w:rPr>
        <w:t>предъкът към постигане на целта</w:t>
      </w:r>
      <w:r w:rsidRPr="00E30623">
        <w:rPr>
          <w:color w:val="auto"/>
        </w:rPr>
        <w:t xml:space="preserve"> 50% от населението да използва интернет, за да купуват стоки и услуги е постоянен: през </w:t>
      </w:r>
      <w:smartTag w:uri="urn:schemas-microsoft-com:office:smarttags" w:element="metricconverter">
        <w:smartTagPr>
          <w:attr w:name="ProductID" w:val="2012 г"/>
        </w:smartTagPr>
        <w:r w:rsidRPr="00E30623">
          <w:rPr>
            <w:color w:val="auto"/>
          </w:rPr>
          <w:t>2012 г</w:t>
        </w:r>
      </w:smartTag>
      <w:r w:rsidRPr="00E30623">
        <w:rPr>
          <w:color w:val="auto"/>
        </w:rPr>
        <w:t xml:space="preserve">. в целия ЕС тази част  възлиза на 45%, с още два процентни пункта от </w:t>
      </w:r>
      <w:smartTag w:uri="urn:schemas-microsoft-com:office:smarttags" w:element="metricconverter">
        <w:smartTagPr>
          <w:attr w:name="ProductID" w:val="2011 г"/>
        </w:smartTagPr>
        <w:r w:rsidRPr="00E30623">
          <w:rPr>
            <w:color w:val="auto"/>
          </w:rPr>
          <w:t>2011 г</w:t>
        </w:r>
      </w:smartTag>
      <w:r>
        <w:rPr>
          <w:color w:val="auto"/>
        </w:rPr>
        <w:t>. насам и осем, от</w:t>
      </w:r>
      <w:r w:rsidRPr="00E30623">
        <w:rPr>
          <w:color w:val="auto"/>
        </w:rPr>
        <w:t xml:space="preserve">както стартира ЦПЕ. Има три групи страни: северните и големите </w:t>
      </w:r>
      <w:r>
        <w:rPr>
          <w:color w:val="auto"/>
        </w:rPr>
        <w:t>с</w:t>
      </w:r>
      <w:r w:rsidRPr="00E30623">
        <w:rPr>
          <w:color w:val="auto"/>
        </w:rPr>
        <w:t>еверозападни иконономики</w:t>
      </w:r>
      <w:r>
        <w:rPr>
          <w:color w:val="auto"/>
        </w:rPr>
        <w:t xml:space="preserve"> (плюс Люксембург</w:t>
      </w:r>
      <w:r w:rsidRPr="00E30623">
        <w:rPr>
          <w:color w:val="auto"/>
        </w:rPr>
        <w:t xml:space="preserve">) са вече доста над целта от 50%, особено северните продължиха  да напредват бързо, добавяйки 3,5 пункта тази година. Втората група страни от всички региони са в съответствие със средното за ЕС и най-вероятно ще се постигнат 50% до </w:t>
      </w:r>
      <w:smartTag w:uri="urn:schemas-microsoft-com:office:smarttags" w:element="metricconverter">
        <w:smartTagPr>
          <w:attr w:name="ProductID" w:val="2015 г"/>
        </w:smartTagPr>
        <w:r w:rsidRPr="00E30623">
          <w:rPr>
            <w:color w:val="auto"/>
          </w:rPr>
          <w:t>2015 г</w:t>
        </w:r>
      </w:smartTag>
      <w:r>
        <w:rPr>
          <w:color w:val="auto"/>
        </w:rPr>
        <w:t>.</w:t>
      </w:r>
      <w:r w:rsidRPr="00E30623">
        <w:rPr>
          <w:color w:val="auto"/>
        </w:rPr>
        <w:t xml:space="preserve"> в ЕС като цяло; изпълнението  на Словакия на осем пункта в сравнение с </w:t>
      </w:r>
      <w:smartTag w:uri="urn:schemas-microsoft-com:office:smarttags" w:element="metricconverter">
        <w:smartTagPr>
          <w:attr w:name="ProductID" w:val="2011 г"/>
        </w:smartTagPr>
        <w:r w:rsidRPr="00E30623">
          <w:rPr>
            <w:color w:val="auto"/>
          </w:rPr>
          <w:t>2011 г</w:t>
        </w:r>
      </w:smartTag>
      <w:r w:rsidRPr="00E30623">
        <w:rPr>
          <w:color w:val="auto"/>
        </w:rPr>
        <w:t>. се откроява. Повечето от южните и източните страни-</w:t>
      </w:r>
      <w:r>
        <w:rPr>
          <w:color w:val="auto"/>
        </w:rPr>
        <w:t xml:space="preserve">членки са в трета група под 35% </w:t>
      </w:r>
      <w:r w:rsidRPr="00E30623">
        <w:rPr>
          <w:color w:val="auto"/>
        </w:rPr>
        <w:t>и ще бъде доста голямо пред</w:t>
      </w:r>
      <w:r>
        <w:rPr>
          <w:color w:val="auto"/>
        </w:rPr>
        <w:t>извикателство да достигнат</w:t>
      </w:r>
      <w:r w:rsidRPr="00E30623">
        <w:rPr>
          <w:color w:val="auto"/>
        </w:rPr>
        <w:t xml:space="preserve"> 50% до 2015</w:t>
      </w:r>
      <w:r>
        <w:rPr>
          <w:color w:val="auto"/>
        </w:rPr>
        <w:t>г</w:t>
      </w:r>
      <w:r w:rsidRPr="00E30623">
        <w:rPr>
          <w:color w:val="auto"/>
        </w:rPr>
        <w:t xml:space="preserve">. Въпреки това, някои страни в тази група постигнаха значителен напредък от </w:t>
      </w:r>
      <w:smartTag w:uri="urn:schemas-microsoft-com:office:smarttags" w:element="metricconverter">
        <w:smartTagPr>
          <w:attr w:name="ProductID" w:val="2011 г"/>
        </w:smartTagPr>
        <w:r w:rsidRPr="00E30623">
          <w:rPr>
            <w:color w:val="auto"/>
          </w:rPr>
          <w:t>2011 г</w:t>
        </w:r>
      </w:smartTag>
      <w:r w:rsidRPr="00E30623">
        <w:rPr>
          <w:color w:val="auto"/>
        </w:rPr>
        <w:t>. насам, като Португалия, Испания и Литва с добавяне на по 4 точки.</w:t>
      </w:r>
    </w:p>
    <w:p w:rsidR="003A08D1" w:rsidRDefault="003A08D1" w:rsidP="00FA39D0">
      <w:pPr>
        <w:autoSpaceDE w:val="0"/>
        <w:autoSpaceDN w:val="0"/>
        <w:adjustRightInd w:val="0"/>
        <w:jc w:val="both"/>
      </w:pPr>
    </w:p>
    <w:p w:rsidR="003A08D1" w:rsidRPr="00A46EC4" w:rsidRDefault="003A08D1" w:rsidP="00FA39D0">
      <w:pPr>
        <w:autoSpaceDE w:val="0"/>
        <w:autoSpaceDN w:val="0"/>
        <w:adjustRightInd w:val="0"/>
        <w:jc w:val="both"/>
        <w:rPr>
          <w:b/>
        </w:rPr>
      </w:pPr>
      <w:r>
        <w:rPr>
          <w:b/>
          <w:lang w:val="ru-RU"/>
        </w:rPr>
        <w:t xml:space="preserve">Ключова цел </w:t>
      </w:r>
      <w:r>
        <w:rPr>
          <w:b/>
        </w:rPr>
        <w:t>5</w:t>
      </w:r>
      <w:r w:rsidRPr="00A46EC4">
        <w:rPr>
          <w:b/>
        </w:rPr>
        <w:t xml:space="preserve">: 20% от населението,  да купуват онлайн </w:t>
      </w:r>
      <w:r w:rsidRPr="007D161E">
        <w:rPr>
          <w:b/>
        </w:rPr>
        <w:t>трансгранично</w:t>
      </w:r>
      <w:r w:rsidRPr="00A46EC4">
        <w:rPr>
          <w:b/>
        </w:rPr>
        <w:t xml:space="preserve"> до 2015 г.</w:t>
      </w:r>
    </w:p>
    <w:p w:rsidR="003A08D1" w:rsidRPr="00E30623" w:rsidRDefault="003A08D1" w:rsidP="00ED25A3">
      <w:pPr>
        <w:autoSpaceDE w:val="0"/>
        <w:autoSpaceDN w:val="0"/>
        <w:adjustRightInd w:val="0"/>
        <w:ind w:firstLine="708"/>
        <w:jc w:val="both"/>
      </w:pPr>
      <w:r w:rsidRPr="00E30623">
        <w:t>Делът на трансграничните онлайн купувачи остава нисък, като достига едва 11%. Докато повишението от 1,4 пункта спрямо 2011 г. е малко по-голям</w:t>
      </w:r>
      <w:r>
        <w:t>о</w:t>
      </w:r>
      <w:r w:rsidRPr="00E30623">
        <w:t>, о</w:t>
      </w:r>
      <w:r>
        <w:t>тколкото в предишните години, то остава твърде ниско</w:t>
      </w:r>
      <w:r w:rsidRPr="00E30623">
        <w:t xml:space="preserve"> за постигане на целта от 20% до 2015 г. (Фигура 3). Расте</w:t>
      </w:r>
      <w:r>
        <w:t>жът</w:t>
      </w:r>
      <w:r w:rsidRPr="00E30623">
        <w:t xml:space="preserve"> е концентриран в онези  страни,</w:t>
      </w:r>
      <w:r>
        <w:t xml:space="preserve"> </w:t>
      </w:r>
      <w:r w:rsidRPr="00E30623">
        <w:t>които  вече показват сравнит</w:t>
      </w:r>
      <w:r>
        <w:t>елно високи нива, като Австрия, Люксембург и Ирландия са</w:t>
      </w:r>
      <w:r w:rsidRPr="00E30623">
        <w:t xml:space="preserve"> сред най-бързо разви</w:t>
      </w:r>
      <w:r>
        <w:t>ващите</w:t>
      </w:r>
      <w:r w:rsidRPr="00E30623">
        <w:t xml:space="preserve"> се, както и за Словакия и Латвия. Въпреки т</w:t>
      </w:r>
      <w:r>
        <w:t>ова, в редица страни купуването</w:t>
      </w:r>
      <w:r w:rsidRPr="00E30623">
        <w:t xml:space="preserve"> онлайн от чужбина остава маргинална дейност, а в Чехия, По</w:t>
      </w:r>
      <w:r>
        <w:t>лша и Румъния не е имало растеж</w:t>
      </w:r>
      <w:r w:rsidRPr="00E30623">
        <w:t>. В другата крайност, в най-малките страни Кипър, Малта и Люксембург, почти всички от тези, които купуват онлайн,  купуват също от други държави-членки.</w:t>
      </w:r>
    </w:p>
    <w:p w:rsidR="003A08D1" w:rsidRDefault="003A08D1" w:rsidP="00CE5E98">
      <w:pPr>
        <w:pStyle w:val="Caption"/>
        <w:keepNext/>
        <w:spacing w:after="0"/>
        <w:jc w:val="center"/>
        <w:rPr>
          <w:lang w:val="bg-BG"/>
        </w:rPr>
      </w:pPr>
      <w:bookmarkStart w:id="4" w:name="_Ref354755104"/>
      <w:bookmarkStart w:id="5" w:name="_Toc358571881"/>
      <w:bookmarkStart w:id="6" w:name="_Toc358572995"/>
      <w:bookmarkStart w:id="7" w:name="_Toc358573609"/>
      <w:bookmarkStart w:id="8" w:name="_Toc358639884"/>
    </w:p>
    <w:p w:rsidR="003A08D1" w:rsidRPr="006F7997" w:rsidRDefault="003A08D1" w:rsidP="00CE5E98">
      <w:pPr>
        <w:pStyle w:val="Caption"/>
        <w:keepNext/>
        <w:spacing w:after="0"/>
        <w:jc w:val="center"/>
      </w:pPr>
      <w:r w:rsidRPr="00FD1619">
        <w:t xml:space="preserve">Figure </w:t>
      </w:r>
      <w:fldSimple w:instr=" SEQ Figure \* ARABIC ">
        <w:r>
          <w:rPr>
            <w:noProof/>
          </w:rPr>
          <w:t>3</w:t>
        </w:r>
      </w:fldSimple>
      <w:bookmarkEnd w:id="4"/>
      <w:r w:rsidRPr="00FD1619">
        <w:t xml:space="preserve">: National and </w:t>
      </w:r>
      <w:r w:rsidRPr="00EC7843">
        <w:t xml:space="preserve">EU </w:t>
      </w:r>
      <w:r w:rsidRPr="00FD1619">
        <w:t xml:space="preserve">cross-border </w:t>
      </w:r>
      <w:r w:rsidRPr="00EC7843">
        <w:t>purchases of individuals (% of individuals)</w:t>
      </w:r>
      <w:bookmarkEnd w:id="5"/>
      <w:bookmarkEnd w:id="6"/>
      <w:bookmarkEnd w:id="7"/>
      <w:bookmarkEnd w:id="8"/>
    </w:p>
    <w:p w:rsidR="003A08D1" w:rsidRPr="007756D7" w:rsidRDefault="003A08D1" w:rsidP="00CE5E98">
      <w:pPr>
        <w:jc w:val="center"/>
      </w:pPr>
      <w:r>
        <w:rPr>
          <w:noProof/>
        </w:rPr>
        <w:pict>
          <v:shape id="_x0000_i1027" type="#_x0000_t75" style="width:359.25pt;height:234.75pt;visibility:visible">
            <v:imagedata r:id="rId11" o:title=""/>
          </v:shape>
        </w:pict>
      </w:r>
    </w:p>
    <w:p w:rsidR="003A08D1" w:rsidRPr="00085642" w:rsidRDefault="003A08D1" w:rsidP="00CE5E98">
      <w:pPr>
        <w:autoSpaceDE w:val="0"/>
        <w:autoSpaceDN w:val="0"/>
        <w:adjustRightInd w:val="0"/>
        <w:jc w:val="center"/>
        <w:rPr>
          <w:i/>
          <w:sz w:val="20"/>
          <w:szCs w:val="20"/>
        </w:rPr>
      </w:pPr>
      <w:r w:rsidRPr="00085642">
        <w:rPr>
          <w:i/>
          <w:sz w:val="20"/>
          <w:szCs w:val="20"/>
        </w:rPr>
        <w:t>Source Eurostat, Community survey on ICT usage in households and by individuals, 2012: percentage of individuals between 16 and 74 who ordered goods or services for private use during the last year, and who ordered from sellers in other EU countries; horizontal lines represent targets</w:t>
      </w:r>
    </w:p>
    <w:p w:rsidR="003A08D1" w:rsidRDefault="003A08D1" w:rsidP="00ED25A3">
      <w:pPr>
        <w:autoSpaceDE w:val="0"/>
        <w:autoSpaceDN w:val="0"/>
        <w:adjustRightInd w:val="0"/>
        <w:jc w:val="both"/>
        <w:rPr>
          <w:b/>
        </w:rPr>
      </w:pPr>
    </w:p>
    <w:p w:rsidR="003A08D1" w:rsidRDefault="003A08D1" w:rsidP="00ED25A3">
      <w:pPr>
        <w:autoSpaceDE w:val="0"/>
        <w:autoSpaceDN w:val="0"/>
        <w:adjustRightInd w:val="0"/>
        <w:jc w:val="both"/>
        <w:rPr>
          <w:b/>
        </w:rPr>
      </w:pPr>
    </w:p>
    <w:p w:rsidR="003A08D1" w:rsidRDefault="003A08D1" w:rsidP="00ED25A3">
      <w:pPr>
        <w:autoSpaceDE w:val="0"/>
        <w:autoSpaceDN w:val="0"/>
        <w:adjustRightInd w:val="0"/>
        <w:jc w:val="both"/>
        <w:rPr>
          <w:b/>
        </w:rPr>
      </w:pPr>
    </w:p>
    <w:p w:rsidR="003A08D1" w:rsidRDefault="003A08D1" w:rsidP="00ED25A3">
      <w:pPr>
        <w:autoSpaceDE w:val="0"/>
        <w:autoSpaceDN w:val="0"/>
        <w:adjustRightInd w:val="0"/>
        <w:jc w:val="both"/>
        <w:rPr>
          <w:b/>
        </w:rPr>
      </w:pPr>
    </w:p>
    <w:p w:rsidR="003A08D1" w:rsidRDefault="003A08D1" w:rsidP="00ED25A3">
      <w:pPr>
        <w:autoSpaceDE w:val="0"/>
        <w:autoSpaceDN w:val="0"/>
        <w:adjustRightInd w:val="0"/>
        <w:jc w:val="both"/>
        <w:rPr>
          <w:b/>
        </w:rPr>
      </w:pPr>
    </w:p>
    <w:p w:rsidR="003A08D1" w:rsidRPr="00ED25A3" w:rsidRDefault="003A08D1" w:rsidP="00ED25A3">
      <w:pPr>
        <w:autoSpaceDE w:val="0"/>
        <w:autoSpaceDN w:val="0"/>
        <w:adjustRightInd w:val="0"/>
        <w:jc w:val="both"/>
        <w:rPr>
          <w:b/>
        </w:rPr>
      </w:pPr>
      <w:r w:rsidRPr="00257B2F">
        <w:rPr>
          <w:b/>
        </w:rPr>
        <w:t>Ключ</w:t>
      </w:r>
      <w:r>
        <w:rPr>
          <w:b/>
        </w:rPr>
        <w:t>ова цел 6</w:t>
      </w:r>
      <w:r w:rsidRPr="00257B2F">
        <w:rPr>
          <w:b/>
        </w:rPr>
        <w:t>: 33% от малките и средни предприятия (</w:t>
      </w:r>
      <w:r>
        <w:rPr>
          <w:b/>
        </w:rPr>
        <w:t>МСП) да правят онлайн продажби</w:t>
      </w:r>
      <w:r w:rsidRPr="00257B2F">
        <w:rPr>
          <w:b/>
        </w:rPr>
        <w:t>/ покупки до 2015</w:t>
      </w:r>
      <w:bookmarkStart w:id="9" w:name="_Ref354755301"/>
      <w:bookmarkStart w:id="10" w:name="_Toc358572996"/>
      <w:bookmarkStart w:id="11" w:name="_Toc358639885"/>
    </w:p>
    <w:p w:rsidR="003A08D1" w:rsidRDefault="003A08D1" w:rsidP="00A93C4E">
      <w:pPr>
        <w:pStyle w:val="Caption"/>
        <w:keepNext/>
        <w:spacing w:after="0"/>
        <w:ind w:left="2124" w:firstLine="708"/>
      </w:pPr>
      <w:r>
        <w:t xml:space="preserve">Figure </w:t>
      </w:r>
      <w:fldSimple w:instr=" SEQ Figure \* ARABIC ">
        <w:r>
          <w:rPr>
            <w:noProof/>
          </w:rPr>
          <w:t>4</w:t>
        </w:r>
      </w:fldSimple>
      <w:bookmarkEnd w:id="9"/>
      <w:r>
        <w:t>: eCommerce by SMEs</w:t>
      </w:r>
      <w:bookmarkEnd w:id="10"/>
      <w:bookmarkEnd w:id="11"/>
    </w:p>
    <w:p w:rsidR="003A08D1" w:rsidRPr="007756D7" w:rsidRDefault="003A08D1" w:rsidP="00CE5E98">
      <w:pPr>
        <w:jc w:val="center"/>
      </w:pPr>
      <w:r>
        <w:rPr>
          <w:noProof/>
        </w:rPr>
        <w:pict>
          <v:shape id="Picture 12" o:spid="_x0000_i1028" type="#_x0000_t75" style="width:359.25pt;height:234.75pt;visibility:visible">
            <v:imagedata r:id="rId12" o:title=""/>
          </v:shape>
        </w:pict>
      </w:r>
    </w:p>
    <w:p w:rsidR="003A08D1" w:rsidRPr="00085642" w:rsidRDefault="003A08D1" w:rsidP="00CE5E98">
      <w:pPr>
        <w:autoSpaceDE w:val="0"/>
        <w:autoSpaceDN w:val="0"/>
        <w:adjustRightInd w:val="0"/>
        <w:jc w:val="center"/>
        <w:rPr>
          <w:i/>
          <w:sz w:val="20"/>
          <w:szCs w:val="20"/>
        </w:rPr>
      </w:pPr>
      <w:r w:rsidRPr="00085642">
        <w:rPr>
          <w:i/>
          <w:sz w:val="20"/>
          <w:szCs w:val="20"/>
        </w:rPr>
        <w:t>Source: Eurostat, Community survey on ICT usage and eCommerce in enterprises. (Enterprises with 10-249 persons employed purchasing/selling online in 2011</w:t>
      </w:r>
      <w:r>
        <w:rPr>
          <w:i/>
          <w:sz w:val="20"/>
          <w:szCs w:val="20"/>
        </w:rPr>
        <w:t>at least</w:t>
      </w:r>
      <w:r w:rsidRPr="00085642">
        <w:rPr>
          <w:i/>
          <w:sz w:val="20"/>
          <w:szCs w:val="20"/>
        </w:rPr>
        <w:t xml:space="preserve"> 1 % of their </w:t>
      </w:r>
      <w:r>
        <w:rPr>
          <w:i/>
          <w:sz w:val="20"/>
          <w:szCs w:val="20"/>
        </w:rPr>
        <w:t>orders/</w:t>
      </w:r>
      <w:r w:rsidRPr="00085642">
        <w:rPr>
          <w:i/>
          <w:sz w:val="20"/>
          <w:szCs w:val="20"/>
        </w:rPr>
        <w:t xml:space="preserve">turnover; horizontal line represents both targets); data for eleven member states </w:t>
      </w:r>
      <w:r>
        <w:rPr>
          <w:i/>
          <w:sz w:val="20"/>
          <w:szCs w:val="20"/>
        </w:rPr>
        <w:t>not available</w:t>
      </w:r>
    </w:p>
    <w:p w:rsidR="003A08D1" w:rsidRPr="007C2807" w:rsidRDefault="003A08D1" w:rsidP="00CE5E98">
      <w:pPr>
        <w:jc w:val="both"/>
      </w:pPr>
    </w:p>
    <w:p w:rsidR="003A08D1" w:rsidRDefault="003A08D1" w:rsidP="00A93C4E">
      <w:pPr>
        <w:autoSpaceDE w:val="0"/>
        <w:autoSpaceDN w:val="0"/>
        <w:adjustRightInd w:val="0"/>
        <w:ind w:firstLine="708"/>
        <w:jc w:val="both"/>
      </w:pPr>
      <w:r>
        <w:t>Онлайн продажбите остават една ниша в дейността</w:t>
      </w:r>
      <w:r w:rsidRPr="00E30623">
        <w:t xml:space="preserve"> за европейските МСП, като само</w:t>
      </w:r>
      <w:r>
        <w:t xml:space="preserve"> една четвърт от тях използват този начин</w:t>
      </w:r>
      <w:r w:rsidRPr="00E30623">
        <w:t xml:space="preserve"> за разпространение</w:t>
      </w:r>
      <w:r>
        <w:t>,</w:t>
      </w:r>
      <w:r w:rsidRPr="00E30623">
        <w:t xml:space="preserve"> дори и в най-добре представящите се </w:t>
      </w:r>
      <w:r>
        <w:t xml:space="preserve">страни Дания и Швеция. </w:t>
      </w:r>
      <w:r w:rsidRPr="00E30623">
        <w:t xml:space="preserve"> </w:t>
      </w:r>
      <w:r>
        <w:t>Въз</w:t>
      </w:r>
      <w:r w:rsidRPr="00E30623">
        <w:t>приема</w:t>
      </w:r>
      <w:r>
        <w:t>нето на електронната търговия е бавно: в целия ЕС този</w:t>
      </w:r>
      <w:r w:rsidRPr="00E30623">
        <w:t xml:space="preserve"> дял нараства само с 1 пункт от 12% до 13%. Въ</w:t>
      </w:r>
      <w:r>
        <w:t xml:space="preserve">преки това, бързото нарастване </w:t>
      </w:r>
      <w:r w:rsidRPr="00E30623">
        <w:t>на водещите</w:t>
      </w:r>
      <w:r>
        <w:t xml:space="preserve"> </w:t>
      </w:r>
      <w:r w:rsidRPr="00E30623">
        <w:t>Швеция</w:t>
      </w:r>
      <w:r>
        <w:t xml:space="preserve"> и Дания </w:t>
      </w:r>
      <w:r w:rsidRPr="00E30623">
        <w:t xml:space="preserve"> показва, че бавното увеличение не се дължи на естествено насищане сред МСП; дру</w:t>
      </w:r>
      <w:r>
        <w:t>ги сравнително бързо развиващи се</w:t>
      </w:r>
      <w:r w:rsidRPr="00E30623">
        <w:t xml:space="preserve"> страни са Обе</w:t>
      </w:r>
      <w:r>
        <w:t>диненото кралство и Словения</w:t>
      </w:r>
      <w:r w:rsidRPr="00E30623">
        <w:t xml:space="preserve">. </w:t>
      </w:r>
    </w:p>
    <w:p w:rsidR="003A08D1" w:rsidRDefault="003A08D1" w:rsidP="00FA39D0">
      <w:pPr>
        <w:pStyle w:val="Default"/>
        <w:jc w:val="both"/>
        <w:rPr>
          <w:b/>
        </w:rPr>
      </w:pPr>
    </w:p>
    <w:p w:rsidR="003A08D1" w:rsidRPr="003A200B" w:rsidRDefault="003A08D1" w:rsidP="00FA39D0">
      <w:pPr>
        <w:pStyle w:val="Default"/>
        <w:jc w:val="both"/>
        <w:rPr>
          <w:b/>
        </w:rPr>
      </w:pPr>
      <w:r>
        <w:rPr>
          <w:b/>
        </w:rPr>
        <w:t>Ключова цел 7</w:t>
      </w:r>
      <w:r w:rsidRPr="003A200B">
        <w:rPr>
          <w:b/>
        </w:rPr>
        <w:t>: разликата между цените н</w:t>
      </w:r>
      <w:r>
        <w:rPr>
          <w:b/>
        </w:rPr>
        <w:t>а роуминг и националните тарифи</w:t>
      </w:r>
      <w:r w:rsidRPr="003A200B">
        <w:rPr>
          <w:b/>
        </w:rPr>
        <w:t xml:space="preserve">  да бъде  преодоляна до 2015</w:t>
      </w:r>
      <w:r>
        <w:rPr>
          <w:b/>
        </w:rPr>
        <w:t xml:space="preserve"> г.</w:t>
      </w:r>
    </w:p>
    <w:p w:rsidR="003A08D1" w:rsidRDefault="003A08D1" w:rsidP="00ED25A3">
      <w:pPr>
        <w:pStyle w:val="Default"/>
        <w:ind w:firstLine="708"/>
        <w:jc w:val="both"/>
      </w:pPr>
      <w:r>
        <w:t>Цените за роуминг са  намале</w:t>
      </w:r>
      <w:r w:rsidRPr="00E30623">
        <w:t xml:space="preserve">ли с 4,8 цента през 2012 г., което е четири пъти по-бързо, отколкото в </w:t>
      </w:r>
      <w:r>
        <w:t>предишните две години</w:t>
      </w:r>
      <w:r w:rsidRPr="00E30623">
        <w:t>. Въпреки това, цените за роуминг все още са повече от три пъти по-високи от цените на националните разговори. Спадът се дължи основно на ефекта от новия регламент за роуминга, който влезе в сила на 1 юли 2012 г. и не е в резултат на увеличаване на конкуренцията</w:t>
      </w:r>
      <w:bookmarkStart w:id="12" w:name="_Ref354755321"/>
      <w:bookmarkStart w:id="13" w:name="_Toc358571882"/>
      <w:bookmarkStart w:id="14" w:name="_Toc358572997"/>
      <w:bookmarkStart w:id="15" w:name="_Toc358573610"/>
      <w:bookmarkStart w:id="16" w:name="_Toc358639886"/>
      <w:r>
        <w:t>.</w:t>
      </w:r>
    </w:p>
    <w:p w:rsidR="003A08D1" w:rsidRDefault="003A08D1" w:rsidP="00C25AF6">
      <w:pPr>
        <w:pStyle w:val="Caption"/>
        <w:keepNext/>
        <w:spacing w:after="0"/>
        <w:jc w:val="center"/>
      </w:pPr>
      <w:r>
        <w:t xml:space="preserve">Figure </w:t>
      </w:r>
      <w:fldSimple w:instr=" SEQ Figure \* ARABIC ">
        <w:r>
          <w:rPr>
            <w:noProof/>
          </w:rPr>
          <w:t>5</w:t>
        </w:r>
      </w:fldSimple>
      <w:bookmarkEnd w:id="12"/>
      <w:r>
        <w:t>: Price differences between roaming and national calls</w:t>
      </w:r>
      <w:bookmarkEnd w:id="13"/>
      <w:bookmarkEnd w:id="14"/>
      <w:bookmarkEnd w:id="15"/>
      <w:bookmarkEnd w:id="16"/>
    </w:p>
    <w:p w:rsidR="003A08D1" w:rsidRDefault="003A08D1" w:rsidP="00C25AF6">
      <w:pPr>
        <w:jc w:val="center"/>
      </w:pPr>
      <w:r w:rsidRPr="003415EE">
        <w:t xml:space="preserve"> </w:t>
      </w:r>
      <w:r>
        <w:rPr>
          <w:noProof/>
        </w:rPr>
        <w:pict>
          <v:shape id="Picture 13" o:spid="_x0000_i1029" type="#_x0000_t75" style="width:337.5pt;height:220.5pt;visibility:visible">
            <v:imagedata r:id="rId13" o:title=""/>
          </v:shape>
        </w:pict>
      </w:r>
    </w:p>
    <w:p w:rsidR="003A08D1" w:rsidRPr="00085642" w:rsidRDefault="003A08D1" w:rsidP="00C25AF6">
      <w:pPr>
        <w:autoSpaceDE w:val="0"/>
        <w:autoSpaceDN w:val="0"/>
        <w:adjustRightInd w:val="0"/>
        <w:jc w:val="center"/>
        <w:rPr>
          <w:i/>
          <w:sz w:val="20"/>
          <w:szCs w:val="20"/>
        </w:rPr>
      </w:pPr>
      <w:r w:rsidRPr="00085642">
        <w:rPr>
          <w:i/>
          <w:sz w:val="20"/>
          <w:szCs w:val="20"/>
        </w:rPr>
        <w:t>Source: Commission services based on BEREC</w:t>
      </w:r>
    </w:p>
    <w:p w:rsidR="003A08D1" w:rsidRDefault="003A08D1" w:rsidP="00FA39D0">
      <w:pPr>
        <w:pStyle w:val="Default"/>
        <w:jc w:val="both"/>
        <w:rPr>
          <w:b/>
        </w:rPr>
      </w:pPr>
    </w:p>
    <w:p w:rsidR="003A08D1" w:rsidRPr="00821328" w:rsidRDefault="003A08D1" w:rsidP="00FA39D0">
      <w:pPr>
        <w:pStyle w:val="Default"/>
        <w:jc w:val="both"/>
        <w:rPr>
          <w:b/>
        </w:rPr>
      </w:pPr>
      <w:r>
        <w:rPr>
          <w:b/>
        </w:rPr>
        <w:t>Ключова цел 8:</w:t>
      </w:r>
      <w:r w:rsidRPr="00821328">
        <w:rPr>
          <w:b/>
        </w:rPr>
        <w:t xml:space="preserve"> да се увеличи редовнот</w:t>
      </w:r>
      <w:r>
        <w:rPr>
          <w:b/>
        </w:rPr>
        <w:t>о ползване на интернет от 60% на</w:t>
      </w:r>
      <w:r w:rsidRPr="00821328">
        <w:rPr>
          <w:b/>
        </w:rPr>
        <w:t xml:space="preserve"> 75% до 2015 г</w:t>
      </w:r>
      <w:r>
        <w:rPr>
          <w:b/>
        </w:rPr>
        <w:t>. и от 41% на</w:t>
      </w:r>
      <w:r w:rsidRPr="00821328">
        <w:rPr>
          <w:b/>
        </w:rPr>
        <w:t xml:space="preserve"> 60% сред хората в неравностойно положение.</w:t>
      </w:r>
    </w:p>
    <w:p w:rsidR="003A08D1" w:rsidRDefault="003A08D1" w:rsidP="00FA39D0">
      <w:pPr>
        <w:pStyle w:val="Default"/>
        <w:jc w:val="both"/>
        <w:rPr>
          <w:b/>
        </w:rPr>
      </w:pPr>
    </w:p>
    <w:p w:rsidR="003A08D1" w:rsidRPr="00E30623" w:rsidRDefault="003A08D1" w:rsidP="00FA39D0">
      <w:pPr>
        <w:pStyle w:val="Default"/>
        <w:jc w:val="both"/>
      </w:pPr>
      <w:r w:rsidRPr="003A200B">
        <w:rPr>
          <w:b/>
        </w:rPr>
        <w:t xml:space="preserve">Ключова цел </w:t>
      </w:r>
      <w:r>
        <w:rPr>
          <w:b/>
        </w:rPr>
        <w:t>9</w:t>
      </w:r>
      <w:r w:rsidRPr="00821328">
        <w:rPr>
          <w:b/>
        </w:rPr>
        <w:t xml:space="preserve">: да се  намали наполовина процента на населението, което никога не </w:t>
      </w:r>
      <w:r>
        <w:rPr>
          <w:b/>
        </w:rPr>
        <w:t xml:space="preserve">е използвало интернет от 30% на </w:t>
      </w:r>
      <w:r w:rsidRPr="00821328">
        <w:rPr>
          <w:b/>
        </w:rPr>
        <w:t>15% до 2015 г</w:t>
      </w:r>
      <w:r w:rsidRPr="00E30623">
        <w:t>.</w:t>
      </w:r>
    </w:p>
    <w:p w:rsidR="003A08D1" w:rsidRDefault="003A08D1" w:rsidP="00ED25A3">
      <w:pPr>
        <w:pStyle w:val="Default"/>
        <w:ind w:firstLine="708"/>
        <w:jc w:val="both"/>
      </w:pPr>
    </w:p>
    <w:p w:rsidR="003A08D1" w:rsidRPr="00A655C9" w:rsidRDefault="003A08D1" w:rsidP="00ED25A3">
      <w:pPr>
        <w:pStyle w:val="Default"/>
        <w:ind w:firstLine="708"/>
        <w:jc w:val="both"/>
        <w:rPr>
          <w:lang w:val="ru-RU"/>
        </w:rPr>
      </w:pPr>
      <w:r w:rsidRPr="00E30623">
        <w:t>Редовно</w:t>
      </w:r>
      <w:r>
        <w:t xml:space="preserve">то </w:t>
      </w:r>
      <w:r w:rsidRPr="00E30623">
        <w:t>използване на Интернет продължава да се превръ</w:t>
      </w:r>
      <w:r>
        <w:t>ща в норма в Европа, като добавя</w:t>
      </w:r>
      <w:r w:rsidRPr="00E30623">
        <w:t xml:space="preserve"> още два процентни пункта през 2012 г</w:t>
      </w:r>
      <w:r>
        <w:t>. и  достига 70%</w:t>
      </w:r>
      <w:r w:rsidRPr="00E30623">
        <w:t>. Това води до общ напредък</w:t>
      </w:r>
      <w:r>
        <w:t xml:space="preserve"> след старта на ЦПЕ с</w:t>
      </w:r>
      <w:r w:rsidRPr="00E30623">
        <w:t xml:space="preserve"> 10 процентни </w:t>
      </w:r>
      <w:r>
        <w:t>пункта, две трети от планираните 15%</w:t>
      </w:r>
      <w:r w:rsidRPr="00E30623">
        <w:t xml:space="preserve">. От друга страна, процентът на не-потребителите е намалял през миналата година с 2 пункта до 22%, в </w:t>
      </w:r>
      <w:r w:rsidRPr="00E30623">
        <w:rPr>
          <w:rFonts w:ascii="Cambria Math" w:hAnsi="Cambria Math" w:cs="Cambria Math"/>
        </w:rPr>
        <w:t>​​</w:t>
      </w:r>
      <w:r w:rsidRPr="00E30623">
        <w:t>сравнение с първоначално</w:t>
      </w:r>
      <w:r>
        <w:t>то</w:t>
      </w:r>
      <w:r w:rsidRPr="00E30623">
        <w:t xml:space="preserve"> ниво от 30% през 2009</w:t>
      </w:r>
      <w:r>
        <w:t xml:space="preserve"> г</w:t>
      </w:r>
      <w:r w:rsidRPr="00E30623">
        <w:t xml:space="preserve">. Голяма част от растежа </w:t>
      </w:r>
      <w:r>
        <w:t>на потреблението</w:t>
      </w:r>
      <w:r w:rsidRPr="00E30623">
        <w:t xml:space="preserve"> сега идва от до</w:t>
      </w:r>
      <w:r>
        <w:t>лната половина на таблицата, от Румъния и Португалия, с</w:t>
      </w:r>
      <w:r w:rsidRPr="00E30623">
        <w:t xml:space="preserve"> по</w:t>
      </w:r>
      <w:r>
        <w:t>стигане на най-бърз растеж сред</w:t>
      </w:r>
      <w:r w:rsidRPr="00E30623">
        <w:t xml:space="preserve"> редовните потребители</w:t>
      </w:r>
      <w:r>
        <w:t xml:space="preserve"> (6% и 4%) и най-бързият спад на не-</w:t>
      </w:r>
      <w:r w:rsidRPr="00E30623">
        <w:t>потреби</w:t>
      </w:r>
      <w:r>
        <w:t>телите (и двете -6</w:t>
      </w:r>
      <w:r w:rsidRPr="00E30623">
        <w:t>%). Франция и Люксембург успяха да добавят о</w:t>
      </w:r>
      <w:r>
        <w:t>коло 4 пункта, въпреки високите</w:t>
      </w:r>
      <w:r w:rsidRPr="00E30623">
        <w:t xml:space="preserve"> начални нива, което показва, че дори и в горната половина на таблицата, все още има място за растеж.</w:t>
      </w:r>
      <w:bookmarkStart w:id="17" w:name="_Ref354755335"/>
      <w:bookmarkStart w:id="18" w:name="_Toc358572998"/>
      <w:bookmarkStart w:id="19" w:name="_Toc358639887"/>
    </w:p>
    <w:p w:rsidR="003A08D1" w:rsidRPr="00A655C9" w:rsidRDefault="003A08D1" w:rsidP="00ED25A3">
      <w:pPr>
        <w:pStyle w:val="Default"/>
        <w:ind w:firstLine="708"/>
        <w:jc w:val="both"/>
        <w:rPr>
          <w:lang w:val="ru-RU"/>
        </w:rPr>
      </w:pPr>
    </w:p>
    <w:p w:rsidR="003A08D1" w:rsidRPr="00A655C9" w:rsidRDefault="003A08D1" w:rsidP="00ED25A3">
      <w:pPr>
        <w:pStyle w:val="Default"/>
        <w:ind w:firstLine="708"/>
        <w:jc w:val="both"/>
        <w:rPr>
          <w:lang w:val="ru-RU"/>
        </w:rPr>
      </w:pPr>
    </w:p>
    <w:p w:rsidR="003A08D1" w:rsidRPr="00A655C9" w:rsidRDefault="003A08D1" w:rsidP="00ED25A3">
      <w:pPr>
        <w:pStyle w:val="Default"/>
        <w:ind w:firstLine="708"/>
        <w:jc w:val="both"/>
        <w:rPr>
          <w:lang w:val="ru-RU"/>
        </w:rPr>
      </w:pPr>
    </w:p>
    <w:p w:rsidR="003A08D1" w:rsidRPr="00A655C9" w:rsidRDefault="003A08D1" w:rsidP="00ED25A3">
      <w:pPr>
        <w:pStyle w:val="Default"/>
        <w:ind w:firstLine="708"/>
        <w:jc w:val="both"/>
        <w:rPr>
          <w:lang w:val="ru-RU"/>
        </w:rPr>
      </w:pPr>
    </w:p>
    <w:p w:rsidR="003A08D1" w:rsidRPr="00A655C9" w:rsidRDefault="003A08D1" w:rsidP="00ED25A3">
      <w:pPr>
        <w:pStyle w:val="Default"/>
        <w:ind w:firstLine="708"/>
        <w:jc w:val="both"/>
        <w:rPr>
          <w:lang w:val="ru-RU"/>
        </w:rPr>
      </w:pPr>
    </w:p>
    <w:p w:rsidR="003A08D1" w:rsidRPr="00A655C9" w:rsidRDefault="003A08D1" w:rsidP="00ED25A3">
      <w:pPr>
        <w:pStyle w:val="Default"/>
        <w:ind w:firstLine="708"/>
        <w:jc w:val="both"/>
        <w:rPr>
          <w:lang w:val="ru-RU"/>
        </w:rPr>
      </w:pPr>
    </w:p>
    <w:p w:rsidR="003A08D1" w:rsidRPr="00A655C9" w:rsidRDefault="003A08D1" w:rsidP="00ED25A3">
      <w:pPr>
        <w:pStyle w:val="Default"/>
        <w:ind w:firstLine="708"/>
        <w:jc w:val="both"/>
        <w:rPr>
          <w:lang w:val="ru-RU"/>
        </w:rPr>
      </w:pPr>
    </w:p>
    <w:p w:rsidR="003A08D1" w:rsidRPr="00A655C9" w:rsidRDefault="003A08D1" w:rsidP="00ED25A3">
      <w:pPr>
        <w:pStyle w:val="Default"/>
        <w:ind w:firstLine="708"/>
        <w:jc w:val="both"/>
        <w:rPr>
          <w:lang w:val="ru-RU"/>
        </w:rPr>
      </w:pPr>
    </w:p>
    <w:p w:rsidR="003A08D1" w:rsidRPr="00A655C9" w:rsidRDefault="003A08D1" w:rsidP="00ED25A3">
      <w:pPr>
        <w:pStyle w:val="Default"/>
        <w:ind w:firstLine="708"/>
        <w:jc w:val="both"/>
        <w:rPr>
          <w:lang w:val="ru-RU"/>
        </w:rPr>
      </w:pPr>
    </w:p>
    <w:p w:rsidR="003A08D1" w:rsidRPr="00A655C9" w:rsidRDefault="003A08D1" w:rsidP="00ED25A3">
      <w:pPr>
        <w:pStyle w:val="Default"/>
        <w:ind w:firstLine="708"/>
        <w:jc w:val="both"/>
        <w:rPr>
          <w:lang w:val="ru-RU"/>
        </w:rPr>
      </w:pPr>
    </w:p>
    <w:p w:rsidR="003A08D1" w:rsidRPr="00A655C9" w:rsidRDefault="003A08D1" w:rsidP="00ED25A3">
      <w:pPr>
        <w:pStyle w:val="Default"/>
        <w:ind w:firstLine="708"/>
        <w:jc w:val="both"/>
        <w:rPr>
          <w:lang w:val="ru-RU"/>
        </w:rPr>
      </w:pPr>
    </w:p>
    <w:p w:rsidR="003A08D1" w:rsidRPr="00A655C9" w:rsidRDefault="003A08D1" w:rsidP="00ED25A3">
      <w:pPr>
        <w:pStyle w:val="Default"/>
        <w:ind w:firstLine="708"/>
        <w:jc w:val="both"/>
        <w:rPr>
          <w:lang w:val="ru-RU"/>
        </w:rPr>
      </w:pPr>
    </w:p>
    <w:p w:rsidR="003A08D1" w:rsidRPr="00A655C9" w:rsidRDefault="003A08D1" w:rsidP="00ED25A3">
      <w:pPr>
        <w:pStyle w:val="Default"/>
        <w:ind w:firstLine="708"/>
        <w:jc w:val="both"/>
        <w:rPr>
          <w:lang w:val="ru-RU"/>
        </w:rPr>
      </w:pPr>
    </w:p>
    <w:p w:rsidR="003A08D1" w:rsidRPr="00A655C9" w:rsidRDefault="003A08D1" w:rsidP="00ED25A3">
      <w:pPr>
        <w:pStyle w:val="Default"/>
        <w:ind w:firstLine="708"/>
        <w:jc w:val="both"/>
        <w:rPr>
          <w:lang w:val="ru-RU"/>
        </w:rPr>
      </w:pPr>
    </w:p>
    <w:p w:rsidR="003A08D1" w:rsidRPr="00A655C9" w:rsidRDefault="003A08D1" w:rsidP="00ED25A3">
      <w:pPr>
        <w:pStyle w:val="Default"/>
        <w:ind w:firstLine="708"/>
        <w:jc w:val="both"/>
        <w:rPr>
          <w:lang w:val="ru-RU"/>
        </w:rPr>
      </w:pPr>
    </w:p>
    <w:p w:rsidR="003A08D1" w:rsidRPr="00A655C9" w:rsidRDefault="003A08D1" w:rsidP="00ED25A3">
      <w:pPr>
        <w:pStyle w:val="Default"/>
        <w:ind w:firstLine="708"/>
        <w:jc w:val="both"/>
        <w:rPr>
          <w:lang w:val="ru-RU"/>
        </w:rPr>
      </w:pPr>
    </w:p>
    <w:p w:rsidR="003A08D1" w:rsidRPr="00A655C9" w:rsidRDefault="003A08D1" w:rsidP="004E46CD">
      <w:pPr>
        <w:pStyle w:val="Default"/>
        <w:ind w:left="708" w:firstLine="708"/>
        <w:jc w:val="both"/>
        <w:rPr>
          <w:b/>
          <w:bCs/>
          <w:lang w:val="en-GB"/>
        </w:rPr>
      </w:pPr>
      <w:bookmarkStart w:id="20" w:name="_GoBack"/>
      <w:bookmarkEnd w:id="20"/>
      <w:r>
        <w:t xml:space="preserve">Figure </w:t>
      </w:r>
      <w:fldSimple w:instr=" SEQ Figure \* ARABIC ">
        <w:r>
          <w:rPr>
            <w:noProof/>
          </w:rPr>
          <w:t>6</w:t>
        </w:r>
      </w:fldSimple>
      <w:bookmarkEnd w:id="17"/>
      <w:r>
        <w:t>: Regular internet use in</w:t>
      </w:r>
      <w:r w:rsidRPr="00A93A8C">
        <w:t xml:space="preserve"> 2012 (% of individuals)</w:t>
      </w:r>
      <w:bookmarkEnd w:id="18"/>
      <w:bookmarkEnd w:id="19"/>
    </w:p>
    <w:p w:rsidR="003A08D1" w:rsidRPr="007756D7" w:rsidRDefault="003A08D1" w:rsidP="009E1284">
      <w:pPr>
        <w:jc w:val="center"/>
      </w:pPr>
      <w:r>
        <w:rPr>
          <w:noProof/>
        </w:rPr>
        <w:pict>
          <v:shape id="Picture 14" o:spid="_x0000_i1030" type="#_x0000_t75" style="width:359.25pt;height:234.75pt;visibility:visible">
            <v:imagedata r:id="rId14" o:title=""/>
          </v:shape>
        </w:pict>
      </w:r>
    </w:p>
    <w:p w:rsidR="003A08D1" w:rsidRPr="00085642" w:rsidRDefault="003A08D1" w:rsidP="009E1284">
      <w:pPr>
        <w:jc w:val="center"/>
        <w:rPr>
          <w:i/>
          <w:sz w:val="20"/>
          <w:szCs w:val="20"/>
        </w:rPr>
      </w:pPr>
      <w:r w:rsidRPr="00085642">
        <w:rPr>
          <w:i/>
          <w:sz w:val="20"/>
          <w:szCs w:val="20"/>
        </w:rPr>
        <w:t>Source: Eurostat, Community survey on ICT usage in households and by individuals; persons aged 16-74 using the Internet at least once a week or never; the rest is classified as occasional users; horizontal lines represent targets</w:t>
      </w:r>
    </w:p>
    <w:p w:rsidR="003A08D1" w:rsidRDefault="003A08D1" w:rsidP="009E1284">
      <w:pPr>
        <w:jc w:val="both"/>
        <w:rPr>
          <w:lang w:val="en-US"/>
        </w:rPr>
      </w:pPr>
    </w:p>
    <w:p w:rsidR="003A08D1" w:rsidRPr="00E30623" w:rsidRDefault="003A08D1" w:rsidP="00A93C4E">
      <w:pPr>
        <w:pStyle w:val="Default"/>
        <w:ind w:firstLine="708"/>
        <w:jc w:val="both"/>
      </w:pPr>
      <w:r w:rsidRPr="00E30623">
        <w:t>Използването на интернет от гр</w:t>
      </w:r>
      <w:r>
        <w:t>упи в неравностойно положение  продължава бавно да следи общата тенденция</w:t>
      </w:r>
      <w:r w:rsidRPr="00E30623">
        <w:t>. Тяхното ниво на редовното използване на интернет достигна миналата година с 3 процентни пункта до</w:t>
      </w:r>
      <w:r>
        <w:t xml:space="preserve"> 54%, с което общият напредък е</w:t>
      </w:r>
      <w:r w:rsidRPr="00E30623">
        <w:t xml:space="preserve"> 13 пункта в сравнение с 2009 година. Делът на хората в неравностойно положение, които са използвали интернет ежедневно е 43% през 2012 г., в сравнение с 40% година по-рано, докато редовн</w:t>
      </w:r>
      <w:r>
        <w:t xml:space="preserve">о, но не ежедневно използвалите останаха на 11%. Продължаващия </w:t>
      </w:r>
      <w:r w:rsidRPr="00E30623">
        <w:t>напредък ще доведе до постигане на трите цели до 2015 година.</w:t>
      </w:r>
    </w:p>
    <w:p w:rsidR="003A08D1" w:rsidRPr="00E30623" w:rsidRDefault="003A08D1" w:rsidP="00FA39D0">
      <w:pPr>
        <w:pStyle w:val="Default"/>
        <w:jc w:val="both"/>
      </w:pPr>
    </w:p>
    <w:p w:rsidR="003A08D1" w:rsidRPr="0080766C" w:rsidRDefault="003A08D1" w:rsidP="00FA39D0">
      <w:pPr>
        <w:pStyle w:val="Default"/>
        <w:jc w:val="both"/>
        <w:rPr>
          <w:b/>
        </w:rPr>
      </w:pPr>
      <w:r>
        <w:rPr>
          <w:b/>
        </w:rPr>
        <w:t>Ключова цел 10</w:t>
      </w:r>
      <w:r w:rsidRPr="0080766C">
        <w:rPr>
          <w:b/>
        </w:rPr>
        <w:t>: 50% от гр</w:t>
      </w:r>
      <w:r>
        <w:rPr>
          <w:b/>
        </w:rPr>
        <w:t>ажданите да ползват електронно п</w:t>
      </w:r>
      <w:r w:rsidRPr="0080766C">
        <w:rPr>
          <w:b/>
        </w:rPr>
        <w:t xml:space="preserve">равителство до 2015 г., </w:t>
      </w:r>
      <w:r>
        <w:rPr>
          <w:b/>
        </w:rPr>
        <w:t xml:space="preserve">като повече от половината </w:t>
      </w:r>
      <w:r w:rsidRPr="0080766C">
        <w:rPr>
          <w:b/>
        </w:rPr>
        <w:t>и</w:t>
      </w:r>
      <w:r w:rsidRPr="007D161E">
        <w:rPr>
          <w:b/>
        </w:rPr>
        <w:t>зп</w:t>
      </w:r>
      <w:r w:rsidRPr="0080766C">
        <w:rPr>
          <w:b/>
        </w:rPr>
        <w:t>ращат  попълнени формуляри</w:t>
      </w:r>
    </w:p>
    <w:p w:rsidR="003A08D1" w:rsidRPr="00E30623" w:rsidRDefault="003A08D1" w:rsidP="00FA39D0">
      <w:pPr>
        <w:pStyle w:val="Default"/>
        <w:jc w:val="both"/>
      </w:pPr>
    </w:p>
    <w:p w:rsidR="003A08D1" w:rsidRPr="00E30623" w:rsidRDefault="003A08D1" w:rsidP="00FA39D0">
      <w:pPr>
        <w:pStyle w:val="Default"/>
        <w:ind w:firstLine="708"/>
        <w:jc w:val="both"/>
        <w:rPr>
          <w:lang w:val="ru-RU"/>
        </w:rPr>
      </w:pPr>
      <w:r w:rsidRPr="00E30623">
        <w:t>Делът на гражданите, които ползват интернет, за да взаим</w:t>
      </w:r>
      <w:r>
        <w:t>одействат с публичните власти достига</w:t>
      </w:r>
      <w:r w:rsidRPr="00E30623">
        <w:t xml:space="preserve"> 44% през 2012 г. след 41% през п</w:t>
      </w:r>
      <w:r>
        <w:t>редходните две години</w:t>
      </w:r>
      <w:r w:rsidRPr="00E30623">
        <w:t xml:space="preserve">. </w:t>
      </w:r>
      <w:r>
        <w:tab/>
      </w:r>
      <w:r w:rsidRPr="00E30623">
        <w:t>Интересното е, че най-добрите изпълнен</w:t>
      </w:r>
      <w:r>
        <w:t xml:space="preserve">ия са разпределени </w:t>
      </w:r>
      <w:r w:rsidRPr="00E30623">
        <w:t xml:space="preserve"> от дъното на таблицата (Румъния със скок от 24, Гърция и Литва +7 всяка), през центъра</w:t>
      </w:r>
      <w:r>
        <w:t xml:space="preserve"> (Латвия и Испания +6 всеки), до</w:t>
      </w:r>
      <w:r w:rsidRPr="00E30623">
        <w:t xml:space="preserve"> върха (Швеция и Франция 5). Забележително е</w:t>
      </w:r>
      <w:r>
        <w:t>, че делът на тези потребители н</w:t>
      </w:r>
      <w:r w:rsidRPr="00E30623">
        <w:t>а електронно</w:t>
      </w:r>
      <w:r>
        <w:t>то управление които връщат/изпращат</w:t>
      </w:r>
      <w:r w:rsidRPr="00E30623">
        <w:t xml:space="preserve"> попълнени</w:t>
      </w:r>
      <w:r>
        <w:t>те формуляри остава стабилен на</w:t>
      </w:r>
      <w:r w:rsidRPr="00E30623">
        <w:t xml:space="preserve"> 50%, въпреки че националните данни</w:t>
      </w:r>
      <w:r>
        <w:t xml:space="preserve"> се различават значително, от</w:t>
      </w:r>
      <w:r w:rsidRPr="00E30623">
        <w:t xml:space="preserve"> Румъния, където само 10% от потребителите на електронното правителство изпращат </w:t>
      </w:r>
      <w:r>
        <w:t>обратно попълнени формуляри, до</w:t>
      </w:r>
      <w:r w:rsidRPr="00E30623">
        <w:t xml:space="preserve"> Дания, </w:t>
      </w:r>
      <w:r>
        <w:t xml:space="preserve">където </w:t>
      </w:r>
      <w:r w:rsidRPr="00E30623">
        <w:t>това го правят</w:t>
      </w:r>
      <w:r>
        <w:t xml:space="preserve"> </w:t>
      </w:r>
      <w:r w:rsidRPr="00E30623">
        <w:t>85%. Трябва да се отбележи, че ниската обща употреба може да върви</w:t>
      </w:r>
      <w:r>
        <w:t xml:space="preserve"> заедно с висок дял изпращане </w:t>
      </w:r>
      <w:r w:rsidRPr="00E30623">
        <w:t xml:space="preserve"> </w:t>
      </w:r>
      <w:r>
        <w:t>на формуляри</w:t>
      </w:r>
      <w:r w:rsidRPr="00E30623">
        <w:t xml:space="preserve"> (Литва 80%), докато високо</w:t>
      </w:r>
      <w:r>
        <w:t>то</w:t>
      </w:r>
      <w:r w:rsidRPr="00E30623">
        <w:t xml:space="preserve"> потребление може да се</w:t>
      </w:r>
      <w:r>
        <w:t xml:space="preserve"> свърже</w:t>
      </w:r>
      <w:r w:rsidRPr="00E30623">
        <w:t xml:space="preserve"> с о</w:t>
      </w:r>
      <w:r>
        <w:t xml:space="preserve">тносително нисък дял на изпращащите формуляри (Люксембург </w:t>
      </w:r>
      <w:r w:rsidRPr="00E30623">
        <w:t>40%).</w:t>
      </w:r>
    </w:p>
    <w:p w:rsidR="003A08D1" w:rsidRPr="00E30623" w:rsidRDefault="003A08D1" w:rsidP="00FA39D0">
      <w:pPr>
        <w:pStyle w:val="Default"/>
        <w:jc w:val="both"/>
      </w:pPr>
    </w:p>
    <w:p w:rsidR="003A08D1" w:rsidRDefault="003A08D1" w:rsidP="009E1284">
      <w:pPr>
        <w:pStyle w:val="Caption"/>
        <w:keepNext/>
        <w:spacing w:after="0"/>
        <w:jc w:val="center"/>
      </w:pPr>
      <w:bookmarkStart w:id="21" w:name="_Ref354755353"/>
      <w:bookmarkStart w:id="22" w:name="_Toc358571883"/>
      <w:bookmarkStart w:id="23" w:name="_Toc358572999"/>
      <w:bookmarkStart w:id="24" w:name="_Toc358573611"/>
      <w:bookmarkStart w:id="25" w:name="_Toc358639888"/>
      <w:r>
        <w:t xml:space="preserve">Figure </w:t>
      </w:r>
      <w:fldSimple w:instr=" SEQ Figure \* ARABIC ">
        <w:r>
          <w:rPr>
            <w:noProof/>
          </w:rPr>
          <w:t>7</w:t>
        </w:r>
      </w:fldSimple>
      <w:bookmarkEnd w:id="21"/>
      <w:r>
        <w:t>: Use of eGovernment by individuals</w:t>
      </w:r>
      <w:bookmarkEnd w:id="22"/>
      <w:bookmarkEnd w:id="23"/>
      <w:bookmarkEnd w:id="24"/>
      <w:bookmarkEnd w:id="25"/>
    </w:p>
    <w:p w:rsidR="003A08D1" w:rsidRPr="007756D7" w:rsidRDefault="003A08D1" w:rsidP="009E1284">
      <w:pPr>
        <w:jc w:val="center"/>
      </w:pPr>
      <w:r>
        <w:rPr>
          <w:noProof/>
        </w:rPr>
        <w:pict>
          <v:shape id="Picture 15" o:spid="_x0000_i1031" type="#_x0000_t75" style="width:359.25pt;height:234.75pt;visibility:visible">
            <v:imagedata r:id="rId15" o:title=""/>
          </v:shape>
        </w:pict>
      </w:r>
    </w:p>
    <w:p w:rsidR="003A08D1" w:rsidRPr="00085642" w:rsidRDefault="003A08D1" w:rsidP="009E1284">
      <w:pPr>
        <w:jc w:val="center"/>
        <w:rPr>
          <w:i/>
          <w:sz w:val="20"/>
          <w:szCs w:val="20"/>
        </w:rPr>
      </w:pPr>
      <w:r w:rsidRPr="00085642">
        <w:rPr>
          <w:i/>
          <w:sz w:val="20"/>
          <w:szCs w:val="20"/>
        </w:rPr>
        <w:t>Source: Eurostat, Community survey on ICT usage in households and by individuals, 2012; percentage of persons aged between 16 and 74 using eGovernment services in the last 12 months; horizontal lines represent targets</w:t>
      </w:r>
    </w:p>
    <w:p w:rsidR="003A08D1" w:rsidRDefault="003A08D1" w:rsidP="00FA39D0">
      <w:pPr>
        <w:autoSpaceDE w:val="0"/>
        <w:autoSpaceDN w:val="0"/>
        <w:adjustRightInd w:val="0"/>
        <w:jc w:val="both"/>
      </w:pPr>
    </w:p>
    <w:p w:rsidR="003A08D1" w:rsidRDefault="003A08D1" w:rsidP="00FA39D0">
      <w:pPr>
        <w:pStyle w:val="Default"/>
        <w:jc w:val="both"/>
      </w:pPr>
    </w:p>
    <w:p w:rsidR="003A08D1" w:rsidRDefault="003A08D1" w:rsidP="00FA39D0">
      <w:pPr>
        <w:pStyle w:val="Default"/>
        <w:jc w:val="both"/>
        <w:rPr>
          <w:b/>
        </w:rPr>
      </w:pPr>
      <w:r>
        <w:rPr>
          <w:b/>
        </w:rPr>
        <w:t>Ключова цел 11</w:t>
      </w:r>
      <w:r w:rsidRPr="008A4582">
        <w:rPr>
          <w:b/>
        </w:rPr>
        <w:t>: всички основни трансгранични публични услуги,</w:t>
      </w:r>
      <w:r>
        <w:rPr>
          <w:b/>
        </w:rPr>
        <w:t xml:space="preserve"> които трябва да са съгласувани</w:t>
      </w:r>
      <w:r w:rsidRPr="008A4582">
        <w:rPr>
          <w:b/>
        </w:rPr>
        <w:t xml:space="preserve"> от държавите</w:t>
      </w:r>
      <w:r>
        <w:rPr>
          <w:b/>
        </w:rPr>
        <w:t>-членки през 2011 г., да бъдат</w:t>
      </w:r>
      <w:r w:rsidRPr="008A4582">
        <w:rPr>
          <w:b/>
        </w:rPr>
        <w:t xml:space="preserve"> на разположение онлайн до 2015 г.</w:t>
      </w:r>
    </w:p>
    <w:p w:rsidR="003A08D1" w:rsidRPr="00E30623" w:rsidRDefault="003A08D1" w:rsidP="00FA39D0">
      <w:pPr>
        <w:pStyle w:val="Default"/>
        <w:ind w:firstLine="708"/>
        <w:jc w:val="both"/>
        <w:outlineLvl w:val="0"/>
      </w:pPr>
      <w:r w:rsidRPr="00E30623">
        <w:t>Държавите-членки все още не са се споразумели за списъка и дискусията продължава.</w:t>
      </w:r>
    </w:p>
    <w:p w:rsidR="003A08D1" w:rsidRPr="00E30623" w:rsidRDefault="003A08D1" w:rsidP="00FA39D0">
      <w:pPr>
        <w:pStyle w:val="Default"/>
        <w:jc w:val="both"/>
      </w:pPr>
    </w:p>
    <w:p w:rsidR="003A08D1" w:rsidRPr="008A4582" w:rsidRDefault="003A08D1" w:rsidP="00FA39D0">
      <w:pPr>
        <w:pStyle w:val="Default"/>
        <w:jc w:val="both"/>
        <w:rPr>
          <w:b/>
        </w:rPr>
      </w:pPr>
      <w:r>
        <w:rPr>
          <w:b/>
        </w:rPr>
        <w:t xml:space="preserve"> Ключова цел 12</w:t>
      </w:r>
      <w:r w:rsidRPr="008A4582">
        <w:rPr>
          <w:b/>
        </w:rPr>
        <w:t>: да се удвоя</w:t>
      </w:r>
      <w:r>
        <w:rPr>
          <w:b/>
        </w:rPr>
        <w:t>т публичните инвестиции в ИКТ</w:t>
      </w:r>
      <w:r w:rsidRPr="008A4582">
        <w:rPr>
          <w:b/>
        </w:rPr>
        <w:t xml:space="preserve"> R &amp; D на € 11 млрд. до 2020 г.</w:t>
      </w:r>
    </w:p>
    <w:p w:rsidR="003A08D1" w:rsidRDefault="003A08D1" w:rsidP="00FA39D0">
      <w:pPr>
        <w:pStyle w:val="Default"/>
        <w:ind w:firstLine="708"/>
        <w:jc w:val="both"/>
      </w:pPr>
    </w:p>
    <w:p w:rsidR="003A08D1" w:rsidRPr="00E30623" w:rsidRDefault="003A08D1" w:rsidP="00FA39D0">
      <w:pPr>
        <w:pStyle w:val="Default"/>
        <w:ind w:firstLine="708"/>
        <w:jc w:val="both"/>
      </w:pPr>
      <w:r w:rsidRPr="00E30623">
        <w:t xml:space="preserve">През 2011 г. публичните инвестиции в </w:t>
      </w:r>
      <w:r>
        <w:t>ИКТ R &amp; D</w:t>
      </w:r>
      <w:r w:rsidRPr="00E30623">
        <w:t>,</w:t>
      </w:r>
      <w:r>
        <w:t xml:space="preserve"> страдащи</w:t>
      </w:r>
      <w:r w:rsidRPr="00E30623">
        <w:t xml:space="preserve"> от бюджетните ограничения в държавите-членки, нарастват с едва </w:t>
      </w:r>
      <w:r>
        <w:t xml:space="preserve">1,8%, в сравнение с необходимия </w:t>
      </w:r>
      <w:r w:rsidRPr="00E30623">
        <w:t>годишен ръст от 5,5% между 2007 г. и 2020 г., за да се постигне целта. Въпреки че последните оценки за предходните години са били леко променени нагор</w:t>
      </w:r>
      <w:r>
        <w:t>е, резултатът е, че публичното</w:t>
      </w:r>
      <w:r w:rsidRPr="00E30623">
        <w:t xml:space="preserve"> R &amp; D в областта на ИКТ в момента е около 3% по-ниско от необходимата траектория. Също така е интересно да се отбележи, че делът на ИКТ в публично финансирани научни изследвания продълж</w:t>
      </w:r>
      <w:r>
        <w:t>ава да нараства, като достига 7,</w:t>
      </w:r>
      <w:r w:rsidRPr="00E30623">
        <w:t>3%. Всъщност,</w:t>
      </w:r>
      <w:r>
        <w:t xml:space="preserve"> това е благодарение на </w:t>
      </w:r>
      <w:r w:rsidRPr="00E30623">
        <w:t xml:space="preserve">увеличението на относителния дял </w:t>
      </w:r>
      <w:r>
        <w:t xml:space="preserve">на </w:t>
      </w:r>
      <w:r w:rsidRPr="00E30623">
        <w:t>публично</w:t>
      </w:r>
      <w:r>
        <w:t>то  R &amp; D в областта на ИКТ.</w:t>
      </w:r>
      <w:r w:rsidRPr="00E30623">
        <w:t xml:space="preserve"> Що с</w:t>
      </w:r>
      <w:r>
        <w:t>е отнася до бизнес R &amp; D в ИКТ</w:t>
      </w:r>
      <w:r w:rsidRPr="00E30623">
        <w:t xml:space="preserve">, през 2010 г. се е съвзел </w:t>
      </w:r>
      <w:r>
        <w:t xml:space="preserve">малко след 7,4% </w:t>
      </w:r>
      <w:r w:rsidRPr="00E30623">
        <w:t>спад</w:t>
      </w:r>
      <w:r>
        <w:t>а</w:t>
      </w:r>
      <w:r w:rsidRPr="00E30623">
        <w:t xml:space="preserve"> от предходната година,</w:t>
      </w:r>
      <w:r>
        <w:t xml:space="preserve"> като нараства с 2,</w:t>
      </w:r>
      <w:r w:rsidRPr="00E30623">
        <w:t>7% според предварителните прогнози. Все пак, това частично възстановяване очевидно все още не е достатъчно, за да се върне към предкризисните нива.</w:t>
      </w:r>
    </w:p>
    <w:p w:rsidR="003A08D1" w:rsidRPr="00AF0838" w:rsidRDefault="003A08D1" w:rsidP="00FA39D0">
      <w:pPr>
        <w:pStyle w:val="Default"/>
        <w:jc w:val="both"/>
      </w:pPr>
    </w:p>
    <w:p w:rsidR="003A08D1" w:rsidRDefault="003A08D1" w:rsidP="009E1284">
      <w:pPr>
        <w:pStyle w:val="Caption"/>
        <w:keepNext/>
        <w:spacing w:after="0"/>
        <w:jc w:val="center"/>
      </w:pPr>
      <w:bookmarkStart w:id="26" w:name="_Ref354755369"/>
      <w:bookmarkStart w:id="27" w:name="_Toc358571884"/>
      <w:bookmarkStart w:id="28" w:name="_Toc358573000"/>
      <w:bookmarkStart w:id="29" w:name="_Toc358573612"/>
      <w:bookmarkStart w:id="30" w:name="_Toc358639889"/>
      <w:r>
        <w:t xml:space="preserve">Figure </w:t>
      </w:r>
      <w:fldSimple w:instr=" SEQ Figure \* ARABIC ">
        <w:r>
          <w:rPr>
            <w:noProof/>
          </w:rPr>
          <w:t>8</w:t>
        </w:r>
      </w:fldSimple>
      <w:bookmarkEnd w:id="26"/>
      <w:r>
        <w:t>: Public investment in ICT R&amp;D</w:t>
      </w:r>
      <w:bookmarkEnd w:id="27"/>
      <w:bookmarkEnd w:id="28"/>
      <w:bookmarkEnd w:id="29"/>
      <w:bookmarkEnd w:id="30"/>
    </w:p>
    <w:p w:rsidR="003A08D1" w:rsidRPr="007756D7" w:rsidRDefault="003A08D1" w:rsidP="009E1284">
      <w:pPr>
        <w:jc w:val="center"/>
      </w:pPr>
      <w:r>
        <w:rPr>
          <w:noProof/>
        </w:rPr>
        <w:pict>
          <v:shape id="Picture 16" o:spid="_x0000_i1032" type="#_x0000_t75" style="width:359.25pt;height:234.75pt;visibility:visible">
            <v:imagedata r:id="rId16" o:title=""/>
          </v:shape>
        </w:pict>
      </w:r>
    </w:p>
    <w:p w:rsidR="003A08D1" w:rsidRDefault="003A08D1" w:rsidP="009E1284">
      <w:pPr>
        <w:autoSpaceDE w:val="0"/>
        <w:autoSpaceDN w:val="0"/>
        <w:adjustRightInd w:val="0"/>
        <w:jc w:val="center"/>
        <w:rPr>
          <w:i/>
          <w:sz w:val="20"/>
          <w:szCs w:val="20"/>
        </w:rPr>
      </w:pPr>
      <w:r w:rsidRPr="00085642">
        <w:rPr>
          <w:i/>
          <w:sz w:val="20"/>
          <w:szCs w:val="20"/>
        </w:rPr>
        <w:t>Source: IPTS</w:t>
      </w:r>
      <w:bookmarkStart w:id="31" w:name="DQCErrorScope6102C2FD5F8A4776839014027FE"/>
      <w:r w:rsidRPr="00085642">
        <w:rPr>
          <w:i/>
          <w:sz w:val="20"/>
          <w:szCs w:val="20"/>
        </w:rPr>
        <w:footnoteReference w:id="2"/>
      </w:r>
      <w:bookmarkEnd w:id="31"/>
      <w:r w:rsidRPr="00085642">
        <w:rPr>
          <w:i/>
          <w:sz w:val="20"/>
          <w:szCs w:val="20"/>
        </w:rPr>
        <w:t>. Values for EU-27 in EUR m. NB: the baseline estimate for 2007 has been revised due to a new methodology;</w:t>
      </w:r>
    </w:p>
    <w:p w:rsidR="003A08D1" w:rsidRDefault="003A08D1" w:rsidP="009E1284">
      <w:pPr>
        <w:autoSpaceDE w:val="0"/>
        <w:autoSpaceDN w:val="0"/>
        <w:adjustRightInd w:val="0"/>
        <w:jc w:val="center"/>
        <w:rPr>
          <w:i/>
          <w:sz w:val="20"/>
          <w:szCs w:val="20"/>
        </w:rPr>
      </w:pPr>
    </w:p>
    <w:p w:rsidR="003A08D1" w:rsidRPr="004412A8" w:rsidRDefault="003A08D1" w:rsidP="00FA39D0">
      <w:pPr>
        <w:pStyle w:val="Default"/>
        <w:jc w:val="both"/>
        <w:rPr>
          <w:b/>
        </w:rPr>
      </w:pPr>
      <w:r>
        <w:rPr>
          <w:b/>
        </w:rPr>
        <w:t>Ключова цел 13: да се намали консумацията на енергия за осветление с 20% до 2020 г.</w:t>
      </w:r>
    </w:p>
    <w:p w:rsidR="003A08D1" w:rsidRPr="00E30623" w:rsidRDefault="003A08D1" w:rsidP="00FA39D0">
      <w:pPr>
        <w:pStyle w:val="Default"/>
        <w:jc w:val="both"/>
        <w:outlineLvl w:val="0"/>
      </w:pPr>
    </w:p>
    <w:p w:rsidR="003A08D1" w:rsidRPr="00E30623" w:rsidRDefault="003A08D1" w:rsidP="00FA39D0">
      <w:pPr>
        <w:pStyle w:val="Default"/>
        <w:ind w:firstLine="708"/>
        <w:jc w:val="both"/>
        <w:rPr>
          <w:lang w:val="ru-RU"/>
        </w:rPr>
      </w:pPr>
      <w:r w:rsidRPr="00E30623">
        <w:t>Преминаването към енергийно ефективно осветление се</w:t>
      </w:r>
      <w:r>
        <w:t xml:space="preserve"> осъществява </w:t>
      </w:r>
      <w:r w:rsidRPr="00E30623">
        <w:t>бързо. Действително, пазарният дял в стойността на осветлението</w:t>
      </w:r>
      <w:r>
        <w:t xml:space="preserve"> </w:t>
      </w:r>
      <w:r w:rsidRPr="00E30623">
        <w:t>с полупроводници  като светодиодите</w:t>
      </w:r>
      <w:r>
        <w:t xml:space="preserve"> (LED и OLED</w:t>
      </w:r>
      <w:r w:rsidRPr="00E30623">
        <w:t>), които консумират по-малко енергия, се е увелич</w:t>
      </w:r>
      <w:r>
        <w:t>ил от 12,8% през 2011 г. до 14,4% през 2012 г.,това е</w:t>
      </w:r>
      <w:r w:rsidRPr="00E30623">
        <w:t xml:space="preserve"> осе</w:t>
      </w:r>
      <w:r>
        <w:t>м</w:t>
      </w:r>
      <w:r w:rsidRPr="00E30623">
        <w:t>кратно увеличение в сравнение с  отправна</w:t>
      </w:r>
      <w:r>
        <w:t xml:space="preserve">та </w:t>
      </w:r>
      <w:r w:rsidRPr="00E30623">
        <w:t>точка от 1,7% през 2009 година</w:t>
      </w:r>
      <w:r>
        <w:t xml:space="preserve"> за ЦПЕ</w:t>
      </w:r>
      <w:r w:rsidRPr="00E30623">
        <w:t>. Може да се очаква, че този бърз растеж ще продължи с бързи темпове в оставащите години от Цифровата програма</w:t>
      </w:r>
      <w:r>
        <w:t>, кое</w:t>
      </w:r>
      <w:r w:rsidRPr="00E30623">
        <w:t>то гарантира, че целта ще бъде постигната.</w:t>
      </w:r>
    </w:p>
    <w:p w:rsidR="003A08D1" w:rsidRPr="00E30623" w:rsidRDefault="003A08D1" w:rsidP="00FA39D0">
      <w:pPr>
        <w:pStyle w:val="Default"/>
        <w:jc w:val="both"/>
      </w:pPr>
    </w:p>
    <w:p w:rsidR="003A08D1" w:rsidRPr="006A06A2" w:rsidRDefault="003A08D1" w:rsidP="00FA39D0">
      <w:pPr>
        <w:pStyle w:val="Default"/>
        <w:jc w:val="both"/>
        <w:rPr>
          <w:b/>
        </w:rPr>
      </w:pPr>
      <w:r>
        <w:rPr>
          <w:b/>
        </w:rPr>
        <w:t xml:space="preserve">Ключови </w:t>
      </w:r>
      <w:r w:rsidRPr="006A06A2">
        <w:rPr>
          <w:b/>
        </w:rPr>
        <w:t xml:space="preserve"> политически действия в третата година</w:t>
      </w:r>
      <w:r>
        <w:rPr>
          <w:b/>
        </w:rPr>
        <w:t xml:space="preserve"> на ЦПЕ</w:t>
      </w:r>
    </w:p>
    <w:p w:rsidR="003A08D1" w:rsidRPr="006A06A2" w:rsidRDefault="003A08D1" w:rsidP="00FA39D0">
      <w:pPr>
        <w:pStyle w:val="Default"/>
        <w:jc w:val="both"/>
        <w:rPr>
          <w:b/>
        </w:rPr>
      </w:pPr>
    </w:p>
    <w:p w:rsidR="003A08D1" w:rsidRPr="00E30623" w:rsidRDefault="003A08D1" w:rsidP="00A37F25">
      <w:pPr>
        <w:pStyle w:val="Default"/>
        <w:ind w:firstLine="708"/>
        <w:jc w:val="both"/>
      </w:pPr>
      <w:r w:rsidRPr="00E30623">
        <w:t>Цифровата програма е структурирана</w:t>
      </w:r>
      <w:r>
        <w:t xml:space="preserve"> в седем "стълба": Динамичен </w:t>
      </w:r>
      <w:r w:rsidRPr="00E30623">
        <w:t xml:space="preserve">единен цифров пазар, оперативна съвместимост и стандарти, доверие и сигурност, бърз и свръхбърз достъп до интернет, </w:t>
      </w:r>
      <w:r>
        <w:t xml:space="preserve">научни </w:t>
      </w:r>
      <w:r w:rsidRPr="00E30623">
        <w:t xml:space="preserve">изследвания и иновации, повишаване на цифровата грамотност, умения и приобщаване, както и ползи от ИКТ за обществото в ЕС. </w:t>
      </w:r>
    </w:p>
    <w:p w:rsidR="003A08D1" w:rsidRPr="00E30623" w:rsidRDefault="003A08D1" w:rsidP="00FA39D0">
      <w:pPr>
        <w:pStyle w:val="Default"/>
        <w:jc w:val="both"/>
      </w:pPr>
    </w:p>
    <w:p w:rsidR="003A08D1" w:rsidRPr="00E30623" w:rsidRDefault="003A08D1" w:rsidP="00FA39D0">
      <w:pPr>
        <w:pStyle w:val="Default"/>
        <w:jc w:val="both"/>
        <w:outlineLvl w:val="0"/>
        <w:rPr>
          <w:b/>
          <w:bCs/>
        </w:rPr>
      </w:pPr>
      <w:r>
        <w:rPr>
          <w:b/>
          <w:bCs/>
        </w:rPr>
        <w:t xml:space="preserve">1. </w:t>
      </w:r>
      <w:r w:rsidRPr="00C57B25">
        <w:rPr>
          <w:b/>
        </w:rPr>
        <w:t>Динамичен единен цифров пазар</w:t>
      </w:r>
    </w:p>
    <w:p w:rsidR="003A08D1" w:rsidRPr="00E30623" w:rsidRDefault="003A08D1" w:rsidP="00FA39D0">
      <w:pPr>
        <w:pStyle w:val="Default"/>
        <w:jc w:val="both"/>
      </w:pPr>
    </w:p>
    <w:p w:rsidR="003A08D1" w:rsidRPr="00E30623" w:rsidRDefault="003A08D1" w:rsidP="00FA39D0">
      <w:pPr>
        <w:pStyle w:val="Default"/>
        <w:ind w:firstLine="708"/>
        <w:jc w:val="both"/>
      </w:pPr>
      <w:r w:rsidRPr="00E30623">
        <w:t>Както се вижда от данните за електрон</w:t>
      </w:r>
      <w:r>
        <w:t xml:space="preserve">ната търговия, пазаруването  онлайн е все още </w:t>
      </w:r>
      <w:r w:rsidRPr="00E30623">
        <w:t>национална дейност. Освен това темповете на растеж за трансгранична електронна търговия са ниски, което представлява истинско предизвикателство за цифрова</w:t>
      </w:r>
      <w:r>
        <w:t xml:space="preserve">та икономика. В </w:t>
      </w:r>
      <w:r w:rsidRPr="00E30623">
        <w:t>последната година се наблюдава дейност, фокусирана върху аспекти, свързан</w:t>
      </w:r>
      <w:r>
        <w:t>и с интелектуалната собственост и</w:t>
      </w:r>
      <w:r w:rsidRPr="00E30623">
        <w:t xml:space="preserve"> дов</w:t>
      </w:r>
      <w:r>
        <w:t>ерие на потребителите и с</w:t>
      </w:r>
      <w:r w:rsidRPr="00E30623">
        <w:t xml:space="preserve"> новия регламент за роуминга.</w:t>
      </w:r>
    </w:p>
    <w:p w:rsidR="003A08D1" w:rsidRPr="00E30623" w:rsidRDefault="003A08D1" w:rsidP="00FA39D0">
      <w:pPr>
        <w:pStyle w:val="Default"/>
        <w:ind w:firstLine="708"/>
        <w:jc w:val="both"/>
        <w:rPr>
          <w:lang w:val="ru-RU"/>
        </w:rPr>
      </w:pPr>
      <w:r w:rsidRPr="00E30623">
        <w:t xml:space="preserve">Относно интелектуалната собственост, на 11 юли 2012 г. Комисията прие </w:t>
      </w:r>
      <w:r>
        <w:t>предложение за директива за</w:t>
      </w:r>
      <w:r w:rsidRPr="00E30623">
        <w:t xml:space="preserve"> колективното управление на права и мулти-териториално лицензиране на права върху музикални произведения за онлайн приложения. </w:t>
      </w:r>
      <w:r>
        <w:t xml:space="preserve">   </w:t>
      </w:r>
      <w:r w:rsidRPr="00E30623">
        <w:t>Предложението има за цел да гарантира, че притежателите</w:t>
      </w:r>
      <w:r>
        <w:t xml:space="preserve"> на права </w:t>
      </w:r>
      <w:r w:rsidRPr="00E30623">
        <w:t xml:space="preserve"> имат думата при управлението на своите права и предвижда по-доброто колективно функциониране на дружествата в резултат на заложените стандарти в цяла Европа. Предложената директива ще намали също така мултитериториално</w:t>
      </w:r>
      <w:r>
        <w:t>то</w:t>
      </w:r>
      <w:r w:rsidRPr="00E30623">
        <w:t xml:space="preserve"> лицензиране на авторските права за използване на музика в интернет. Това трябва да доведе до подобряване н</w:t>
      </w:r>
      <w:r>
        <w:t xml:space="preserve">а достъпа до </w:t>
      </w:r>
      <w:r w:rsidRPr="00E30623">
        <w:t xml:space="preserve"> музика онлайн</w:t>
      </w:r>
      <w:r>
        <w:t xml:space="preserve"> и повече предлагане</w:t>
      </w:r>
      <w:r w:rsidRPr="00E30623">
        <w:t>.</w:t>
      </w:r>
    </w:p>
    <w:p w:rsidR="003A08D1" w:rsidRDefault="003A08D1" w:rsidP="006D49A1">
      <w:pPr>
        <w:pStyle w:val="Default"/>
        <w:ind w:firstLine="708"/>
        <w:jc w:val="both"/>
      </w:pPr>
      <w:r w:rsidRPr="00E30623">
        <w:t xml:space="preserve">На 18 декември 2012 г. Комисията прие Съобщение относно съдържанието в единния цифров пазар. С него се въвежда структуриран диалог </w:t>
      </w:r>
      <w:r>
        <w:t>със заинтересованите страни, кой</w:t>
      </w:r>
      <w:r w:rsidRPr="00E30623">
        <w:t>то стартира през февруари 2013 г</w:t>
      </w:r>
      <w:r>
        <w:t>. и има за цел да осигури</w:t>
      </w:r>
      <w:r w:rsidRPr="00E30623">
        <w:t xml:space="preserve"> бърз напредък в четири области чрез практически промишлено-ориентираните решения: трансграничен достъп и преносимост на услуги; генерирано от потребителите съдържание и лицензиране за дребните по</w:t>
      </w:r>
      <w:r>
        <w:t>требители на защитени материали</w:t>
      </w:r>
      <w:r w:rsidRPr="00E30623">
        <w:t>; улесняване на депозит</w:t>
      </w:r>
      <w:r>
        <w:t>а</w:t>
      </w:r>
      <w:r w:rsidRPr="00E30623">
        <w:t xml:space="preserve"> и онлайн достъпа до филми в ЕС, както и насърчаване </w:t>
      </w:r>
      <w:r>
        <w:t xml:space="preserve">разработването на </w:t>
      </w:r>
      <w:r w:rsidRPr="00E30623">
        <w:t>текст и данни за научноизследователски цели. Успоредно с текущия преглед на правната рамка на ЕС за авторското право, въз основа на пазарни проучвания, оценка на въздействието и</w:t>
      </w:r>
      <w:r>
        <w:t xml:space="preserve"> в рамките на процеса на</w:t>
      </w:r>
      <w:r w:rsidRPr="00E30623">
        <w:t xml:space="preserve"> </w:t>
      </w:r>
      <w:r>
        <w:t>разработването на нормативни актове</w:t>
      </w:r>
      <w:r w:rsidRPr="00E30623">
        <w:t xml:space="preserve">, </w:t>
      </w:r>
      <w:r>
        <w:t>Комисията</w:t>
      </w:r>
      <w:r w:rsidRPr="00E30623">
        <w:t xml:space="preserve"> цел</w:t>
      </w:r>
      <w:r>
        <w:t>и</w:t>
      </w:r>
      <w:r w:rsidRPr="00E30623">
        <w:t xml:space="preserve"> през 2014</w:t>
      </w:r>
      <w:r>
        <w:t xml:space="preserve"> г.</w:t>
      </w:r>
      <w:r w:rsidRPr="00E30623">
        <w:t xml:space="preserve"> </w:t>
      </w:r>
      <w:r>
        <w:t>да реши</w:t>
      </w:r>
      <w:r w:rsidRPr="00E30623">
        <w:t xml:space="preserve"> дали да внесе законодателни предложения за реформа.</w:t>
      </w:r>
    </w:p>
    <w:p w:rsidR="003A08D1" w:rsidRPr="00E30623" w:rsidRDefault="003A08D1" w:rsidP="006D49A1">
      <w:pPr>
        <w:pStyle w:val="Default"/>
        <w:ind w:firstLine="708"/>
        <w:jc w:val="both"/>
        <w:rPr>
          <w:color w:val="auto"/>
        </w:rPr>
      </w:pPr>
      <w:r w:rsidRPr="00E30623">
        <w:rPr>
          <w:color w:val="auto"/>
        </w:rPr>
        <w:t>Работата на Комисията относно плащанията се изпълнява. След Зелената книга за интегриран европейски пазар за картови, интернет и мобилни плащания, и последвалото обществено обсъждане, Комисията планира да приеме законодателна инициатива за многостранни обменни такси, както и предложение за преразглеждане на Директивата за платежните услуги пре</w:t>
      </w:r>
      <w:r>
        <w:rPr>
          <w:color w:val="auto"/>
        </w:rPr>
        <w:t>з второто тримесечие на 2013 г.</w:t>
      </w:r>
    </w:p>
    <w:p w:rsidR="003A08D1" w:rsidRPr="00E30623" w:rsidRDefault="003A08D1" w:rsidP="00FA39D0">
      <w:pPr>
        <w:pStyle w:val="Default"/>
        <w:ind w:firstLine="708"/>
        <w:jc w:val="both"/>
        <w:rPr>
          <w:color w:val="auto"/>
        </w:rPr>
      </w:pPr>
      <w:r w:rsidRPr="00E30623">
        <w:rPr>
          <w:color w:val="auto"/>
        </w:rPr>
        <w:t>За да се увеличи доверието на потребителите в единния ци</w:t>
      </w:r>
      <w:r>
        <w:rPr>
          <w:color w:val="auto"/>
        </w:rPr>
        <w:t xml:space="preserve">фров пазар Комисията е приключила </w:t>
      </w:r>
      <w:r w:rsidRPr="00E30623">
        <w:rPr>
          <w:color w:val="auto"/>
        </w:rPr>
        <w:t>две действия миналата година. На 17 декември 2012 г. Кодекс</w:t>
      </w:r>
      <w:r>
        <w:rPr>
          <w:color w:val="auto"/>
        </w:rPr>
        <w:t>а</w:t>
      </w:r>
      <w:r w:rsidRPr="00E30623">
        <w:rPr>
          <w:color w:val="auto"/>
        </w:rPr>
        <w:t xml:space="preserve"> на онлайн правата в ЕС, съставянето на основен набор от права, които съществуват в законодателството на ЕС </w:t>
      </w:r>
      <w:r>
        <w:rPr>
          <w:color w:val="auto"/>
        </w:rPr>
        <w:t>и свързани с цифровата среда, бяха включени</w:t>
      </w:r>
      <w:r w:rsidRPr="00E30623">
        <w:rPr>
          <w:color w:val="auto"/>
        </w:rPr>
        <w:t xml:space="preserve"> в обхвата </w:t>
      </w:r>
      <w:r>
        <w:rPr>
          <w:color w:val="auto"/>
        </w:rPr>
        <w:t>на „</w:t>
      </w:r>
      <w:r w:rsidRPr="00E30623">
        <w:rPr>
          <w:color w:val="auto"/>
        </w:rPr>
        <w:t>Вашата Европа - Порталът за гражданите</w:t>
      </w:r>
      <w:r>
        <w:rPr>
          <w:color w:val="auto"/>
        </w:rPr>
        <w:t>”</w:t>
      </w:r>
      <w:r w:rsidRPr="00E30623">
        <w:rPr>
          <w:color w:val="auto"/>
        </w:rPr>
        <w:t>. В действителност, европейските граждани се радват на редица права, които са от значение за цифрова</w:t>
      </w:r>
      <w:r>
        <w:rPr>
          <w:color w:val="auto"/>
        </w:rPr>
        <w:t>та</w:t>
      </w:r>
      <w:r w:rsidRPr="00E30623">
        <w:rPr>
          <w:color w:val="auto"/>
        </w:rPr>
        <w:t xml:space="preserve"> среда, като например свобода на изразяване и информация, защита на личните данни и неприкосновеността на личния живот, изискванията за прозрачност и универсални телефонни и </w:t>
      </w:r>
      <w:r>
        <w:rPr>
          <w:color w:val="auto"/>
        </w:rPr>
        <w:t>функционални интернет услуги и н</w:t>
      </w:r>
      <w:r w:rsidRPr="00E30623">
        <w:rPr>
          <w:color w:val="auto"/>
        </w:rPr>
        <w:t xml:space="preserve">а </w:t>
      </w:r>
      <w:r w:rsidRPr="006D49A1">
        <w:rPr>
          <w:color w:val="auto"/>
        </w:rPr>
        <w:t>м</w:t>
      </w:r>
      <w:r>
        <w:rPr>
          <w:color w:val="auto"/>
        </w:rPr>
        <w:t xml:space="preserve">инимум </w:t>
      </w:r>
      <w:r w:rsidRPr="00E30623">
        <w:rPr>
          <w:color w:val="auto"/>
        </w:rPr>
        <w:t>качество на услугата. Въпреки това, тези съществуващи права са разпръснати в ра</w:t>
      </w:r>
      <w:r>
        <w:rPr>
          <w:color w:val="auto"/>
        </w:rPr>
        <w:t>злични правни инструменти на ЕС</w:t>
      </w:r>
      <w:r w:rsidRPr="00E30623">
        <w:rPr>
          <w:color w:val="auto"/>
        </w:rPr>
        <w:t xml:space="preserve"> и не винаги е лесно да бъдат</w:t>
      </w:r>
      <w:r>
        <w:rPr>
          <w:color w:val="auto"/>
        </w:rPr>
        <w:t xml:space="preserve"> разбрани. Кодексът цели</w:t>
      </w:r>
      <w:r w:rsidRPr="00E30623">
        <w:rPr>
          <w:color w:val="auto"/>
        </w:rPr>
        <w:t xml:space="preserve"> да повиши информираността и разбиранет</w:t>
      </w:r>
      <w:r>
        <w:rPr>
          <w:color w:val="auto"/>
        </w:rPr>
        <w:t>о на ключовите цифрови права з</w:t>
      </w:r>
      <w:r w:rsidRPr="00E30623">
        <w:rPr>
          <w:color w:val="auto"/>
        </w:rPr>
        <w:t>а гражданите на ЕС.</w:t>
      </w:r>
    </w:p>
    <w:p w:rsidR="003A08D1" w:rsidRPr="00D03755" w:rsidRDefault="003A08D1" w:rsidP="00FA39D0">
      <w:pPr>
        <w:pStyle w:val="Default"/>
        <w:ind w:firstLine="708"/>
        <w:jc w:val="both"/>
        <w:rPr>
          <w:color w:val="auto"/>
          <w:lang w:val="ru-RU"/>
        </w:rPr>
      </w:pPr>
      <w:r w:rsidRPr="00E30623">
        <w:rPr>
          <w:color w:val="auto"/>
        </w:rPr>
        <w:t xml:space="preserve">На 21 март 2013 г., службите на Комисията </w:t>
      </w:r>
      <w:r>
        <w:rPr>
          <w:color w:val="auto"/>
        </w:rPr>
        <w:t>публикуваха проучване на тема "Онлайн знаци на доверие в ЕС – и</w:t>
      </w:r>
      <w:r w:rsidRPr="00E30623">
        <w:rPr>
          <w:color w:val="auto"/>
        </w:rPr>
        <w:t>зграждане</w:t>
      </w:r>
      <w:r>
        <w:rPr>
          <w:color w:val="auto"/>
        </w:rPr>
        <w:t xml:space="preserve"> на цифрово д</w:t>
      </w:r>
      <w:r w:rsidRPr="00E30623">
        <w:rPr>
          <w:color w:val="auto"/>
        </w:rPr>
        <w:t>оверие в Европа".</w:t>
      </w:r>
      <w:r>
        <w:rPr>
          <w:color w:val="auto"/>
        </w:rPr>
        <w:t xml:space="preserve"> </w:t>
      </w:r>
      <w:r w:rsidRPr="00E30623">
        <w:rPr>
          <w:color w:val="auto"/>
        </w:rPr>
        <w:t>В това проучване е направен анализ на те</w:t>
      </w:r>
      <w:r>
        <w:rPr>
          <w:color w:val="auto"/>
        </w:rPr>
        <w:t>кущото състояние на знаците</w:t>
      </w:r>
      <w:r w:rsidRPr="00E30623">
        <w:rPr>
          <w:color w:val="auto"/>
        </w:rPr>
        <w:t xml:space="preserve"> за доверие в Европа. </w:t>
      </w:r>
    </w:p>
    <w:p w:rsidR="003A08D1" w:rsidRPr="00E30623" w:rsidRDefault="003A08D1" w:rsidP="00FA39D0">
      <w:pPr>
        <w:pStyle w:val="Default"/>
        <w:ind w:firstLine="708"/>
        <w:jc w:val="both"/>
        <w:rPr>
          <w:color w:val="auto"/>
        </w:rPr>
      </w:pPr>
      <w:r w:rsidRPr="00E30623">
        <w:rPr>
          <w:color w:val="auto"/>
        </w:rPr>
        <w:t xml:space="preserve">Освен това, през 2011 г. предложенията на Комисията за Директива за алтернативно решаване на потребителски спорове и за Регламент за онлайн решаване на потребителски спорове бяха приети от Съвета и Европейския парламент на 22 април 2013 </w:t>
      </w:r>
      <w:r>
        <w:rPr>
          <w:color w:val="auto"/>
        </w:rPr>
        <w:t xml:space="preserve">година. Те включват </w:t>
      </w:r>
      <w:r w:rsidRPr="00E30623">
        <w:rPr>
          <w:color w:val="auto"/>
        </w:rPr>
        <w:t>създаването на европейска платформа за онлайн решаване на спорове от страна на Комисията, което ще позволи на потребители и търговци, установени в ЕС да представят на компетентната структура за а</w:t>
      </w:r>
      <w:r>
        <w:rPr>
          <w:color w:val="auto"/>
        </w:rPr>
        <w:t>лтернативно решаване на спорове</w:t>
      </w:r>
      <w:r w:rsidRPr="00E30623">
        <w:rPr>
          <w:color w:val="auto"/>
        </w:rPr>
        <w:t xml:space="preserve"> по електронен път и на всеки от официалните езиц</w:t>
      </w:r>
      <w:r>
        <w:rPr>
          <w:color w:val="auto"/>
        </w:rPr>
        <w:t>и на ЕС, техните жалби, свързани</w:t>
      </w:r>
      <w:r w:rsidRPr="00E30623">
        <w:rPr>
          <w:color w:val="auto"/>
        </w:rPr>
        <w:t xml:space="preserve"> с онлайн продажба или услуга.</w:t>
      </w:r>
    </w:p>
    <w:p w:rsidR="003A08D1" w:rsidRPr="00E30623" w:rsidRDefault="003A08D1" w:rsidP="00FA39D0">
      <w:pPr>
        <w:pStyle w:val="Default"/>
        <w:ind w:firstLine="708"/>
        <w:jc w:val="both"/>
        <w:rPr>
          <w:color w:val="auto"/>
          <w:lang w:val="ru-RU"/>
        </w:rPr>
      </w:pPr>
      <w:r>
        <w:rPr>
          <w:color w:val="auto"/>
        </w:rPr>
        <w:t xml:space="preserve"> К</w:t>
      </w:r>
      <w:r w:rsidRPr="00E30623">
        <w:rPr>
          <w:color w:val="auto"/>
        </w:rPr>
        <w:t>ато се има предвид, че спадът на цените за</w:t>
      </w:r>
      <w:r>
        <w:rPr>
          <w:color w:val="auto"/>
        </w:rPr>
        <w:t xml:space="preserve"> роуминг през последните години</w:t>
      </w:r>
      <w:r w:rsidRPr="00E30623">
        <w:rPr>
          <w:color w:val="auto"/>
        </w:rPr>
        <w:t xml:space="preserve"> е твърде бавен, новият регламент </w:t>
      </w:r>
      <w:r>
        <w:rPr>
          <w:color w:val="auto"/>
        </w:rPr>
        <w:t xml:space="preserve">за </w:t>
      </w:r>
      <w:r w:rsidRPr="00E30623">
        <w:rPr>
          <w:color w:val="auto"/>
        </w:rPr>
        <w:t>роумин</w:t>
      </w:r>
      <w:r>
        <w:rPr>
          <w:color w:val="auto"/>
        </w:rPr>
        <w:t>г беше приет на 13 юни 2012 г.,</w:t>
      </w:r>
      <w:r w:rsidRPr="00E30623">
        <w:rPr>
          <w:color w:val="auto"/>
        </w:rPr>
        <w:t xml:space="preserve"> влезе в сила на 1</w:t>
      </w:r>
      <w:r>
        <w:rPr>
          <w:color w:val="auto"/>
        </w:rPr>
        <w:t xml:space="preserve"> юли 2012 година и</w:t>
      </w:r>
      <w:r w:rsidRPr="00E30623">
        <w:rPr>
          <w:color w:val="auto"/>
        </w:rPr>
        <w:t xml:space="preserve"> намалява съществуващия таван за гласови повиквания и SMS, въвежда</w:t>
      </w:r>
      <w:r>
        <w:rPr>
          <w:color w:val="auto"/>
        </w:rPr>
        <w:t>йки</w:t>
      </w:r>
      <w:r w:rsidRPr="00E30623">
        <w:rPr>
          <w:color w:val="auto"/>
        </w:rPr>
        <w:t xml:space="preserve"> таван за роуминга на данни, насърчава прозр</w:t>
      </w:r>
      <w:r>
        <w:rPr>
          <w:color w:val="auto"/>
        </w:rPr>
        <w:t xml:space="preserve">ачността на таксите за роуминг </w:t>
      </w:r>
      <w:r w:rsidRPr="00E30623">
        <w:rPr>
          <w:color w:val="auto"/>
        </w:rPr>
        <w:t>и осигурява</w:t>
      </w:r>
      <w:r>
        <w:rPr>
          <w:color w:val="auto"/>
        </w:rPr>
        <w:t xml:space="preserve"> защита срещу неочаквани</w:t>
      </w:r>
      <w:r w:rsidRPr="00E30623">
        <w:rPr>
          <w:color w:val="auto"/>
        </w:rPr>
        <w:t xml:space="preserve"> сметки.</w:t>
      </w:r>
    </w:p>
    <w:p w:rsidR="003A08D1" w:rsidRPr="00E30623" w:rsidRDefault="003A08D1" w:rsidP="00FA39D0">
      <w:pPr>
        <w:pStyle w:val="Default"/>
        <w:jc w:val="both"/>
        <w:rPr>
          <w:color w:val="auto"/>
        </w:rPr>
      </w:pPr>
    </w:p>
    <w:p w:rsidR="003A08D1" w:rsidRPr="00E30623" w:rsidRDefault="003A08D1" w:rsidP="00FA39D0">
      <w:pPr>
        <w:pStyle w:val="Default"/>
        <w:jc w:val="both"/>
        <w:outlineLvl w:val="0"/>
        <w:rPr>
          <w:b/>
          <w:bCs/>
          <w:color w:val="auto"/>
        </w:rPr>
      </w:pPr>
      <w:r w:rsidRPr="00E30623">
        <w:rPr>
          <w:b/>
          <w:bCs/>
          <w:color w:val="auto"/>
        </w:rPr>
        <w:t>2.</w:t>
      </w:r>
      <w:r>
        <w:rPr>
          <w:b/>
          <w:bCs/>
          <w:color w:val="auto"/>
        </w:rPr>
        <w:t xml:space="preserve"> Оперативна съвместимост и стандарти</w:t>
      </w:r>
    </w:p>
    <w:p w:rsidR="003A08D1" w:rsidRPr="00E30623" w:rsidRDefault="003A08D1" w:rsidP="00FA39D0">
      <w:pPr>
        <w:pStyle w:val="Default"/>
        <w:jc w:val="both"/>
        <w:rPr>
          <w:color w:val="auto"/>
        </w:rPr>
      </w:pPr>
    </w:p>
    <w:p w:rsidR="003A08D1" w:rsidRPr="00E30623" w:rsidRDefault="003A08D1" w:rsidP="00FA39D0">
      <w:pPr>
        <w:pStyle w:val="Default"/>
        <w:ind w:firstLine="708"/>
        <w:jc w:val="both"/>
        <w:rPr>
          <w:color w:val="auto"/>
        </w:rPr>
      </w:pPr>
      <w:r w:rsidRPr="00E30623">
        <w:rPr>
          <w:color w:val="auto"/>
        </w:rPr>
        <w:t>Оперативна</w:t>
      </w:r>
      <w:r>
        <w:rPr>
          <w:color w:val="auto"/>
        </w:rPr>
        <w:t>та</w:t>
      </w:r>
      <w:r w:rsidRPr="00E30623">
        <w:rPr>
          <w:color w:val="auto"/>
        </w:rPr>
        <w:t xml:space="preserve"> съвместимост между ИКТ услуги и приложения е ключово необходим</w:t>
      </w:r>
      <w:r>
        <w:rPr>
          <w:color w:val="auto"/>
        </w:rPr>
        <w:t>а</w:t>
      </w:r>
      <w:r w:rsidRPr="00E30623">
        <w:rPr>
          <w:color w:val="auto"/>
        </w:rPr>
        <w:t xml:space="preserve"> за производителната икономика и стандартите  са от жизненоважно значение за оперативната съвместимост. Независимо от това, доколкото се </w:t>
      </w:r>
      <w:r>
        <w:rPr>
          <w:color w:val="auto"/>
        </w:rPr>
        <w:t>отнася до предвидените мерки за</w:t>
      </w:r>
      <w:r w:rsidRPr="00E30623">
        <w:rPr>
          <w:color w:val="auto"/>
        </w:rPr>
        <w:t xml:space="preserve"> лицензиране на оперативна съвместимост, след обществена консултация за достъп до информацията за съвместимос</w:t>
      </w:r>
      <w:r>
        <w:rPr>
          <w:color w:val="auto"/>
        </w:rPr>
        <w:t>т на цифрови продукти и услуги , законодателни мерки не изглежда да са уместни.</w:t>
      </w:r>
      <w:r w:rsidRPr="00E30623">
        <w:rPr>
          <w:color w:val="auto"/>
        </w:rPr>
        <w:t xml:space="preserve"> Работен документ, опи</w:t>
      </w:r>
      <w:r>
        <w:rPr>
          <w:color w:val="auto"/>
        </w:rPr>
        <w:t>сващ различни резултати ще бъде</w:t>
      </w:r>
      <w:r w:rsidRPr="00E30623">
        <w:rPr>
          <w:color w:val="auto"/>
        </w:rPr>
        <w:t xml:space="preserve"> </w:t>
      </w:r>
      <w:r>
        <w:rPr>
          <w:color w:val="auto"/>
        </w:rPr>
        <w:t>публикуван скоро. Впоследствие,</w:t>
      </w:r>
      <w:r w:rsidRPr="00E30623">
        <w:rPr>
          <w:color w:val="auto"/>
        </w:rPr>
        <w:t xml:space="preserve"> потенциалът о</w:t>
      </w:r>
      <w:r>
        <w:rPr>
          <w:color w:val="auto"/>
        </w:rPr>
        <w:t>т незаконодателни мерки ще бъде</w:t>
      </w:r>
      <w:r w:rsidRPr="00E30623">
        <w:rPr>
          <w:color w:val="auto"/>
        </w:rPr>
        <w:t xml:space="preserve"> разработен през 2013 г., като например разработването на модел на лицензи за оперативна информация и насоки за оценка на стойността на информацията за съвместимост.</w:t>
      </w:r>
    </w:p>
    <w:p w:rsidR="003A08D1" w:rsidRPr="00E30623" w:rsidRDefault="003A08D1" w:rsidP="00D31B2F">
      <w:pPr>
        <w:pStyle w:val="Default"/>
        <w:ind w:firstLine="708"/>
        <w:jc w:val="both"/>
        <w:rPr>
          <w:color w:val="auto"/>
        </w:rPr>
      </w:pPr>
      <w:r w:rsidRPr="00E30623">
        <w:rPr>
          <w:color w:val="auto"/>
        </w:rPr>
        <w:t>В допълнение, през второто тримесечие на 2013 г. Комисията възнамерява да приеме съобщение за  представянето на насоки, които</w:t>
      </w:r>
      <w:r>
        <w:rPr>
          <w:color w:val="auto"/>
        </w:rPr>
        <w:t xml:space="preserve"> трябва да помогнат </w:t>
      </w:r>
      <w:r w:rsidRPr="00E30623">
        <w:rPr>
          <w:color w:val="auto"/>
        </w:rPr>
        <w:t xml:space="preserve"> публичните органи да използват по-добре стандартите, за да не бъдат блокирани в ИКТ системите.</w:t>
      </w:r>
      <w:r>
        <w:rPr>
          <w:color w:val="auto"/>
        </w:rPr>
        <w:t xml:space="preserve"> Това трябва да увеличи броя</w:t>
      </w:r>
      <w:r w:rsidRPr="00E30623">
        <w:rPr>
          <w:color w:val="auto"/>
        </w:rPr>
        <w:t xml:space="preserve"> на отгов</w:t>
      </w:r>
      <w:r>
        <w:rPr>
          <w:color w:val="auto"/>
        </w:rPr>
        <w:t>орите при  търгове</w:t>
      </w:r>
      <w:r w:rsidRPr="00E30623">
        <w:rPr>
          <w:color w:val="auto"/>
        </w:rPr>
        <w:t xml:space="preserve"> за възлагане на обществени поръчки </w:t>
      </w:r>
      <w:r>
        <w:rPr>
          <w:color w:val="auto"/>
        </w:rPr>
        <w:t xml:space="preserve">в областта на ИКТ. </w:t>
      </w:r>
      <w:r w:rsidRPr="00E30623">
        <w:rPr>
          <w:color w:val="auto"/>
        </w:rPr>
        <w:t>Комисията ще организира срещи, на които обществените органи могат да</w:t>
      </w:r>
      <w:r>
        <w:rPr>
          <w:color w:val="auto"/>
        </w:rPr>
        <w:t xml:space="preserve"> обменят </w:t>
      </w:r>
      <w:r w:rsidRPr="00E30623">
        <w:rPr>
          <w:color w:val="auto"/>
        </w:rPr>
        <w:t>най-добри пр</w:t>
      </w:r>
      <w:r>
        <w:rPr>
          <w:color w:val="auto"/>
        </w:rPr>
        <w:t xml:space="preserve">актики и ще бъдат създадени </w:t>
      </w:r>
      <w:r w:rsidRPr="00E30623">
        <w:rPr>
          <w:color w:val="auto"/>
        </w:rPr>
        <w:t xml:space="preserve">програми за </w:t>
      </w:r>
      <w:r>
        <w:rPr>
          <w:color w:val="auto"/>
        </w:rPr>
        <w:t xml:space="preserve">по-лесно </w:t>
      </w:r>
      <w:r w:rsidRPr="00E30623">
        <w:rPr>
          <w:color w:val="auto"/>
        </w:rPr>
        <w:t>наблю</w:t>
      </w:r>
      <w:r>
        <w:rPr>
          <w:color w:val="auto"/>
        </w:rPr>
        <w:t xml:space="preserve">дение, за да се измерят ползите </w:t>
      </w:r>
      <w:r w:rsidRPr="00E30623">
        <w:rPr>
          <w:color w:val="auto"/>
        </w:rPr>
        <w:t>от по-доброто използване на стандартите.</w:t>
      </w:r>
    </w:p>
    <w:p w:rsidR="003A08D1" w:rsidRPr="00E30623" w:rsidRDefault="003A08D1" w:rsidP="00FA39D0">
      <w:pPr>
        <w:pStyle w:val="Default"/>
        <w:jc w:val="both"/>
        <w:rPr>
          <w:color w:val="auto"/>
        </w:rPr>
      </w:pPr>
    </w:p>
    <w:p w:rsidR="003A08D1" w:rsidRPr="00C57B25" w:rsidRDefault="003A08D1" w:rsidP="00FA39D0">
      <w:pPr>
        <w:pStyle w:val="Default"/>
        <w:jc w:val="both"/>
        <w:outlineLvl w:val="0"/>
        <w:rPr>
          <w:b/>
          <w:color w:val="auto"/>
        </w:rPr>
      </w:pPr>
      <w:r w:rsidRPr="00E30623">
        <w:rPr>
          <w:b/>
          <w:bCs/>
          <w:color w:val="auto"/>
        </w:rPr>
        <w:t xml:space="preserve">3. </w:t>
      </w:r>
      <w:r w:rsidRPr="00E30623">
        <w:rPr>
          <w:color w:val="auto"/>
        </w:rPr>
        <w:t xml:space="preserve"> </w:t>
      </w:r>
      <w:r w:rsidRPr="00C57B25">
        <w:rPr>
          <w:b/>
          <w:color w:val="auto"/>
        </w:rPr>
        <w:t>Доверие и сигурност</w:t>
      </w:r>
    </w:p>
    <w:p w:rsidR="003A08D1" w:rsidRDefault="003A08D1" w:rsidP="00FA39D0">
      <w:pPr>
        <w:pStyle w:val="Default"/>
        <w:jc w:val="both"/>
        <w:rPr>
          <w:b/>
          <w:bCs/>
          <w:color w:val="auto"/>
        </w:rPr>
      </w:pPr>
    </w:p>
    <w:p w:rsidR="003A08D1" w:rsidRPr="00E30623" w:rsidRDefault="003A08D1" w:rsidP="00171F9E">
      <w:pPr>
        <w:pStyle w:val="Default"/>
        <w:ind w:firstLine="708"/>
        <w:jc w:val="both"/>
        <w:rPr>
          <w:color w:val="auto"/>
          <w:lang w:val="ru-RU"/>
        </w:rPr>
      </w:pPr>
      <w:r w:rsidRPr="00E30623">
        <w:rPr>
          <w:color w:val="auto"/>
        </w:rPr>
        <w:t xml:space="preserve">Нарастващото значение на ИКТ мрежите за икономиката прави атаките </w:t>
      </w:r>
      <w:r>
        <w:rPr>
          <w:color w:val="auto"/>
        </w:rPr>
        <w:t>срещу тези мрежи по-скъпоструващи и</w:t>
      </w:r>
      <w:r w:rsidRPr="00E30623">
        <w:rPr>
          <w:color w:val="auto"/>
        </w:rPr>
        <w:t xml:space="preserve"> по-привлек</w:t>
      </w:r>
      <w:r>
        <w:rPr>
          <w:color w:val="auto"/>
        </w:rPr>
        <w:t xml:space="preserve">ателни за киберпрестъпниците. Има стратегия по </w:t>
      </w:r>
      <w:r w:rsidRPr="00E30623">
        <w:rPr>
          <w:color w:val="auto"/>
        </w:rPr>
        <w:t>киберсигурността на Европейс</w:t>
      </w:r>
      <w:r>
        <w:rPr>
          <w:color w:val="auto"/>
        </w:rPr>
        <w:t>кия съюз.</w:t>
      </w:r>
    </w:p>
    <w:p w:rsidR="003A08D1" w:rsidRPr="00E30623" w:rsidRDefault="003A08D1" w:rsidP="00FA39D0">
      <w:pPr>
        <w:pStyle w:val="Default"/>
        <w:jc w:val="both"/>
        <w:rPr>
          <w:color w:val="auto"/>
        </w:rPr>
      </w:pPr>
    </w:p>
    <w:p w:rsidR="003A08D1" w:rsidRPr="00C57B25" w:rsidRDefault="003A08D1" w:rsidP="00FA39D0">
      <w:pPr>
        <w:pStyle w:val="Default"/>
        <w:jc w:val="both"/>
        <w:outlineLvl w:val="0"/>
        <w:rPr>
          <w:b/>
          <w:color w:val="auto"/>
        </w:rPr>
      </w:pPr>
      <w:r w:rsidRPr="00E30623">
        <w:rPr>
          <w:b/>
          <w:bCs/>
          <w:color w:val="auto"/>
        </w:rPr>
        <w:t xml:space="preserve">4. </w:t>
      </w:r>
      <w:r>
        <w:rPr>
          <w:color w:val="auto"/>
        </w:rPr>
        <w:t xml:space="preserve"> </w:t>
      </w:r>
      <w:r w:rsidRPr="00C57B25">
        <w:rPr>
          <w:b/>
          <w:color w:val="auto"/>
        </w:rPr>
        <w:t>Бърз и ултра-бърз интернет достъп</w:t>
      </w:r>
    </w:p>
    <w:p w:rsidR="003A08D1" w:rsidRPr="00E30623" w:rsidRDefault="003A08D1" w:rsidP="00FA39D0">
      <w:pPr>
        <w:pStyle w:val="Default"/>
        <w:jc w:val="both"/>
        <w:rPr>
          <w:color w:val="auto"/>
        </w:rPr>
      </w:pPr>
    </w:p>
    <w:p w:rsidR="003A08D1" w:rsidRPr="00E30623" w:rsidRDefault="003A08D1" w:rsidP="00171F9E">
      <w:pPr>
        <w:pStyle w:val="Default"/>
        <w:ind w:firstLine="708"/>
        <w:jc w:val="both"/>
        <w:rPr>
          <w:color w:val="auto"/>
        </w:rPr>
      </w:pPr>
      <w:r w:rsidRPr="00E30623">
        <w:rPr>
          <w:color w:val="auto"/>
        </w:rPr>
        <w:t>Една от основните цели на политиката в областта на ИКТ във всички развити икономики е да се гарантира повсеместен достъп до интернет със скорост достатъчно</w:t>
      </w:r>
      <w:r>
        <w:rPr>
          <w:color w:val="auto"/>
        </w:rPr>
        <w:t xml:space="preserve"> бърза, за да осигури мрежово-базирани приложения със</w:t>
      </w:r>
      <w:r w:rsidRPr="00E30623">
        <w:rPr>
          <w:color w:val="auto"/>
        </w:rPr>
        <w:t xml:space="preserve"> знания, необходими за конкурентоспособността на утрешния ден. През изминалата година</w:t>
      </w:r>
      <w:r>
        <w:rPr>
          <w:color w:val="auto"/>
        </w:rPr>
        <w:t xml:space="preserve"> </w:t>
      </w:r>
      <w:r w:rsidRPr="00E30623">
        <w:rPr>
          <w:color w:val="auto"/>
        </w:rPr>
        <w:t>фокуса</w:t>
      </w:r>
      <w:r>
        <w:rPr>
          <w:color w:val="auto"/>
        </w:rPr>
        <w:t xml:space="preserve"> на дискусиите в Комисията с държавите-членки беше</w:t>
      </w:r>
      <w:r w:rsidRPr="00E30623">
        <w:rPr>
          <w:color w:val="auto"/>
        </w:rPr>
        <w:t xml:space="preserve"> относно финансирането за предоставяне на високоскоростен широколентов достъп.</w:t>
      </w:r>
    </w:p>
    <w:p w:rsidR="003A08D1" w:rsidRDefault="003A08D1" w:rsidP="00171F9E">
      <w:pPr>
        <w:pStyle w:val="Default"/>
        <w:ind w:firstLine="708"/>
        <w:jc w:val="both"/>
        <w:rPr>
          <w:color w:val="auto"/>
        </w:rPr>
      </w:pPr>
      <w:r w:rsidRPr="00E30623">
        <w:rPr>
          <w:color w:val="auto"/>
        </w:rPr>
        <w:t>Като част от преразглеждането на европейските структурни и инвестиционни фондове за периода 2014-2020</w:t>
      </w:r>
      <w:r>
        <w:rPr>
          <w:color w:val="auto"/>
        </w:rPr>
        <w:t xml:space="preserve"> г.</w:t>
      </w:r>
      <w:r w:rsidRPr="00E30623">
        <w:rPr>
          <w:color w:val="auto"/>
        </w:rPr>
        <w:t>, през октомври 2012 г</w:t>
      </w:r>
      <w:r>
        <w:rPr>
          <w:color w:val="auto"/>
        </w:rPr>
        <w:t>. службите на Комисията приеха позиции за</w:t>
      </w:r>
      <w:r w:rsidRPr="00E30623">
        <w:rPr>
          <w:color w:val="auto"/>
        </w:rPr>
        <w:t xml:space="preserve"> развитието на споразуменията за партньорство и програмите,</w:t>
      </w:r>
      <w:r>
        <w:rPr>
          <w:color w:val="auto"/>
        </w:rPr>
        <w:t xml:space="preserve"> </w:t>
      </w:r>
      <w:r w:rsidRPr="00E30623">
        <w:rPr>
          <w:color w:val="auto"/>
        </w:rPr>
        <w:t>като се подчертава необходимостта от разгръщане на широколентови мрежи, к</w:t>
      </w:r>
      <w:r>
        <w:rPr>
          <w:color w:val="auto"/>
        </w:rPr>
        <w:t>ъдето е уместно. Що се отнася до Механизма за</w:t>
      </w:r>
      <w:r w:rsidRPr="00E30623">
        <w:rPr>
          <w:color w:val="auto"/>
        </w:rPr>
        <w:t xml:space="preserve"> </w:t>
      </w:r>
      <w:r w:rsidRPr="00AA2AAA">
        <w:rPr>
          <w:color w:val="auto"/>
        </w:rPr>
        <w:t>свързване на Европа (CEF),</w:t>
      </w:r>
      <w:r w:rsidRPr="00E30623">
        <w:rPr>
          <w:color w:val="auto"/>
        </w:rPr>
        <w:t xml:space="preserve"> през февруари 2013 г. бюджет</w:t>
      </w:r>
      <w:r>
        <w:rPr>
          <w:color w:val="auto"/>
        </w:rPr>
        <w:t>а</w:t>
      </w:r>
      <w:r w:rsidRPr="00E30623">
        <w:rPr>
          <w:color w:val="auto"/>
        </w:rPr>
        <w:t xml:space="preserve">, предложен от Комисията за </w:t>
      </w:r>
      <w:r>
        <w:rPr>
          <w:color w:val="auto"/>
        </w:rPr>
        <w:t>инфраструктура за цифрови мрежи и  услуги от</w:t>
      </w:r>
      <w:r w:rsidRPr="00E30623">
        <w:rPr>
          <w:color w:val="auto"/>
        </w:rPr>
        <w:t xml:space="preserve"> € 9,2 млрд. (по постоянни цени от 2011 г</w:t>
      </w:r>
      <w:r>
        <w:rPr>
          <w:color w:val="auto"/>
        </w:rPr>
        <w:t>.) беше намален</w:t>
      </w:r>
      <w:r w:rsidRPr="00E30623">
        <w:rPr>
          <w:color w:val="auto"/>
        </w:rPr>
        <w:t xml:space="preserve"> на € 1 млрд. в заключенията на Европейския съвет относно</w:t>
      </w:r>
      <w:r>
        <w:rPr>
          <w:color w:val="auto"/>
        </w:rPr>
        <w:t xml:space="preserve"> д</w:t>
      </w:r>
      <w:r w:rsidRPr="00E30623">
        <w:rPr>
          <w:color w:val="auto"/>
        </w:rPr>
        <w:t>ългосрочната финансова рамка</w:t>
      </w:r>
      <w:r>
        <w:rPr>
          <w:color w:val="auto"/>
        </w:rPr>
        <w:t xml:space="preserve"> за периода 2014-2020 г.</w:t>
      </w:r>
    </w:p>
    <w:p w:rsidR="003A08D1" w:rsidRPr="00E30623" w:rsidRDefault="003A08D1" w:rsidP="00171F9E">
      <w:pPr>
        <w:pStyle w:val="Default"/>
        <w:ind w:firstLine="708"/>
        <w:jc w:val="both"/>
        <w:rPr>
          <w:color w:val="auto"/>
        </w:rPr>
      </w:pPr>
      <w:r w:rsidRPr="00E30623">
        <w:rPr>
          <w:color w:val="auto"/>
        </w:rPr>
        <w:t>Що се отнася до изпълнението на националните планове за широколентов достъп</w:t>
      </w:r>
      <w:r>
        <w:rPr>
          <w:color w:val="auto"/>
        </w:rPr>
        <w:t xml:space="preserve"> до края на 2012 г,</w:t>
      </w:r>
      <w:r w:rsidRPr="00E30623">
        <w:rPr>
          <w:color w:val="auto"/>
        </w:rPr>
        <w:t xml:space="preserve"> планове</w:t>
      </w:r>
      <w:r>
        <w:rPr>
          <w:color w:val="auto"/>
        </w:rPr>
        <w:t>те</w:t>
      </w:r>
      <w:r w:rsidRPr="00E30623">
        <w:rPr>
          <w:color w:val="auto"/>
        </w:rPr>
        <w:t xml:space="preserve"> на държавите-членки остават незавършени и не всички от тях в</w:t>
      </w:r>
      <w:r>
        <w:rPr>
          <w:color w:val="auto"/>
        </w:rPr>
        <w:t xml:space="preserve">изират  как да се достигнат </w:t>
      </w:r>
      <w:r w:rsidRPr="00E30623">
        <w:rPr>
          <w:color w:val="auto"/>
        </w:rPr>
        <w:t>широколентови</w:t>
      </w:r>
      <w:r>
        <w:rPr>
          <w:color w:val="auto"/>
        </w:rPr>
        <w:t xml:space="preserve">те </w:t>
      </w:r>
      <w:r w:rsidRPr="00E30623">
        <w:rPr>
          <w:color w:val="auto"/>
        </w:rPr>
        <w:t>цели</w:t>
      </w:r>
      <w:r>
        <w:rPr>
          <w:color w:val="auto"/>
        </w:rPr>
        <w:t xml:space="preserve"> на ЦПЕ</w:t>
      </w:r>
      <w:r w:rsidRPr="00E30623">
        <w:rPr>
          <w:color w:val="auto"/>
        </w:rPr>
        <w:t>.</w:t>
      </w:r>
    </w:p>
    <w:p w:rsidR="003A08D1" w:rsidRDefault="003A08D1" w:rsidP="00FA39D0">
      <w:pPr>
        <w:pStyle w:val="Default"/>
        <w:ind w:firstLine="708"/>
        <w:jc w:val="both"/>
        <w:rPr>
          <w:color w:val="auto"/>
        </w:rPr>
      </w:pPr>
      <w:r w:rsidRPr="00E30623">
        <w:rPr>
          <w:color w:val="auto"/>
        </w:rPr>
        <w:t>За широколентови насоки за държавна помощ и</w:t>
      </w:r>
      <w:r>
        <w:rPr>
          <w:color w:val="auto"/>
        </w:rPr>
        <w:t xml:space="preserve"> намаляване на разходите за  строителство са изготвени документи на ЕК.</w:t>
      </w:r>
    </w:p>
    <w:p w:rsidR="003A08D1" w:rsidRPr="00E30623" w:rsidRDefault="003A08D1" w:rsidP="00FA39D0">
      <w:pPr>
        <w:pStyle w:val="Default"/>
        <w:jc w:val="both"/>
        <w:rPr>
          <w:color w:val="auto"/>
        </w:rPr>
      </w:pPr>
    </w:p>
    <w:p w:rsidR="003A08D1" w:rsidRPr="00C57B25" w:rsidRDefault="003A08D1" w:rsidP="00FA39D0">
      <w:pPr>
        <w:pStyle w:val="Default"/>
        <w:jc w:val="both"/>
        <w:outlineLvl w:val="0"/>
        <w:rPr>
          <w:b/>
          <w:bCs/>
          <w:color w:val="auto"/>
        </w:rPr>
      </w:pPr>
      <w:r w:rsidRPr="00E30623">
        <w:rPr>
          <w:b/>
          <w:bCs/>
          <w:color w:val="auto"/>
        </w:rPr>
        <w:t xml:space="preserve">5. </w:t>
      </w:r>
      <w:r w:rsidRPr="00C57B25">
        <w:rPr>
          <w:b/>
          <w:color w:val="auto"/>
        </w:rPr>
        <w:t>Научни изследвания и иновации</w:t>
      </w:r>
    </w:p>
    <w:p w:rsidR="003A08D1" w:rsidRPr="00E30623" w:rsidRDefault="003A08D1" w:rsidP="00FA39D0">
      <w:pPr>
        <w:pStyle w:val="Default"/>
        <w:jc w:val="both"/>
        <w:rPr>
          <w:color w:val="auto"/>
        </w:rPr>
      </w:pPr>
    </w:p>
    <w:p w:rsidR="003A08D1" w:rsidRPr="00E30623" w:rsidRDefault="003A08D1" w:rsidP="00FA39D0">
      <w:pPr>
        <w:pStyle w:val="Default"/>
        <w:ind w:firstLine="708"/>
        <w:jc w:val="both"/>
        <w:rPr>
          <w:color w:val="auto"/>
          <w:lang w:val="ru-RU"/>
        </w:rPr>
      </w:pPr>
      <w:r w:rsidRPr="00E30623">
        <w:rPr>
          <w:color w:val="auto"/>
        </w:rPr>
        <w:t xml:space="preserve">След приемането от Комисията </w:t>
      </w:r>
      <w:r>
        <w:rPr>
          <w:color w:val="auto"/>
        </w:rPr>
        <w:t>на основно преразглеждане на ИКТ R &amp; D подкрепата</w:t>
      </w:r>
      <w:r w:rsidRPr="00E30623">
        <w:rPr>
          <w:color w:val="auto"/>
        </w:rPr>
        <w:t xml:space="preserve"> в Хоризонт 20</w:t>
      </w:r>
      <w:r>
        <w:rPr>
          <w:color w:val="auto"/>
        </w:rPr>
        <w:t>20 в края на 2011 г., няма</w:t>
      </w:r>
      <w:r w:rsidRPr="00E30623">
        <w:rPr>
          <w:color w:val="auto"/>
        </w:rPr>
        <w:t xml:space="preserve"> законодателно </w:t>
      </w:r>
      <w:r w:rsidRPr="00533264">
        <w:rPr>
          <w:color w:val="auto"/>
        </w:rPr>
        <w:t xml:space="preserve">действие </w:t>
      </w:r>
      <w:r>
        <w:rPr>
          <w:color w:val="auto"/>
        </w:rPr>
        <w:t>предназначено за 2012-20</w:t>
      </w:r>
      <w:r w:rsidRPr="00533264">
        <w:rPr>
          <w:color w:val="auto"/>
        </w:rPr>
        <w:t>13</w:t>
      </w:r>
      <w:r>
        <w:rPr>
          <w:color w:val="auto"/>
        </w:rPr>
        <w:t xml:space="preserve"> г</w:t>
      </w:r>
      <w:r w:rsidRPr="00533264">
        <w:rPr>
          <w:color w:val="auto"/>
        </w:rPr>
        <w:t>.</w:t>
      </w:r>
    </w:p>
    <w:p w:rsidR="003A08D1" w:rsidRPr="00E30623" w:rsidRDefault="003A08D1" w:rsidP="00FA39D0">
      <w:pPr>
        <w:pStyle w:val="Default"/>
        <w:jc w:val="both"/>
        <w:rPr>
          <w:color w:val="auto"/>
        </w:rPr>
      </w:pPr>
    </w:p>
    <w:p w:rsidR="003A08D1" w:rsidRPr="00C57B25" w:rsidRDefault="003A08D1" w:rsidP="00FA39D0">
      <w:pPr>
        <w:pStyle w:val="Default"/>
        <w:jc w:val="both"/>
        <w:outlineLvl w:val="0"/>
        <w:rPr>
          <w:b/>
          <w:color w:val="auto"/>
        </w:rPr>
      </w:pPr>
      <w:r w:rsidRPr="00E30623">
        <w:rPr>
          <w:b/>
          <w:bCs/>
          <w:color w:val="auto"/>
        </w:rPr>
        <w:t xml:space="preserve">6. </w:t>
      </w:r>
      <w:r w:rsidRPr="00E30623">
        <w:rPr>
          <w:color w:val="auto"/>
        </w:rPr>
        <w:t xml:space="preserve"> </w:t>
      </w:r>
      <w:r w:rsidRPr="00C57B25">
        <w:rPr>
          <w:b/>
          <w:color w:val="auto"/>
        </w:rPr>
        <w:t>Повишаване на цифровата грамотност, умения и приобщаване</w:t>
      </w:r>
    </w:p>
    <w:p w:rsidR="003A08D1" w:rsidRPr="00E30623" w:rsidRDefault="003A08D1" w:rsidP="00FA39D0">
      <w:pPr>
        <w:pStyle w:val="Default"/>
        <w:jc w:val="both"/>
        <w:outlineLvl w:val="0"/>
        <w:rPr>
          <w:b/>
          <w:bCs/>
          <w:color w:val="auto"/>
        </w:rPr>
      </w:pPr>
    </w:p>
    <w:p w:rsidR="003A08D1" w:rsidRPr="00E30623" w:rsidRDefault="003A08D1" w:rsidP="00FA39D0">
      <w:pPr>
        <w:pStyle w:val="Default"/>
        <w:ind w:firstLine="708"/>
        <w:jc w:val="both"/>
        <w:rPr>
          <w:color w:val="auto"/>
        </w:rPr>
      </w:pPr>
      <w:r>
        <w:rPr>
          <w:color w:val="auto"/>
        </w:rPr>
        <w:t>Интернет и ИКТ достигат</w:t>
      </w:r>
      <w:r w:rsidRPr="00E30623">
        <w:rPr>
          <w:color w:val="auto"/>
        </w:rPr>
        <w:t xml:space="preserve"> </w:t>
      </w:r>
      <w:r>
        <w:rPr>
          <w:color w:val="auto"/>
        </w:rPr>
        <w:t xml:space="preserve">до </w:t>
      </w:r>
      <w:r w:rsidRPr="00E30623">
        <w:rPr>
          <w:color w:val="auto"/>
        </w:rPr>
        <w:t>голяма част от обществото, но не всички европейски граждани имат възможност да придобият умения, не</w:t>
      </w:r>
      <w:r>
        <w:rPr>
          <w:color w:val="auto"/>
        </w:rPr>
        <w:t>обходими за постигане на целта "в</w:t>
      </w:r>
      <w:r w:rsidRPr="00E30623">
        <w:rPr>
          <w:color w:val="auto"/>
        </w:rPr>
        <w:t xml:space="preserve">секи европеец цифровизиран " до 2015 г., Европа трябва да </w:t>
      </w:r>
      <w:r>
        <w:rPr>
          <w:color w:val="auto"/>
        </w:rPr>
        <w:t>се</w:t>
      </w:r>
      <w:r w:rsidRPr="00E30623">
        <w:rPr>
          <w:color w:val="auto"/>
        </w:rPr>
        <w:t xml:space="preserve"> развива </w:t>
      </w:r>
      <w:r>
        <w:rPr>
          <w:color w:val="auto"/>
        </w:rPr>
        <w:t xml:space="preserve">в </w:t>
      </w:r>
      <w:r w:rsidRPr="00E30623">
        <w:rPr>
          <w:color w:val="auto"/>
        </w:rPr>
        <w:t xml:space="preserve">областта на ИКТ уменията на населението, </w:t>
      </w:r>
      <w:r>
        <w:rPr>
          <w:color w:val="auto"/>
        </w:rPr>
        <w:t>по-специално на трудовата сила</w:t>
      </w:r>
      <w:r w:rsidRPr="00E30623">
        <w:rPr>
          <w:color w:val="auto"/>
        </w:rPr>
        <w:t xml:space="preserve"> и да гарантира, че всички граждани </w:t>
      </w:r>
      <w:r>
        <w:rPr>
          <w:color w:val="auto"/>
        </w:rPr>
        <w:t xml:space="preserve">могат </w:t>
      </w:r>
      <w:r w:rsidRPr="00E30623">
        <w:rPr>
          <w:color w:val="auto"/>
        </w:rPr>
        <w:t>да имат достъп до интернет.</w:t>
      </w:r>
    </w:p>
    <w:p w:rsidR="003A08D1" w:rsidRPr="00E30623" w:rsidRDefault="003A08D1" w:rsidP="00C93CA2">
      <w:pPr>
        <w:pStyle w:val="Default"/>
        <w:ind w:firstLine="708"/>
        <w:jc w:val="both"/>
        <w:rPr>
          <w:color w:val="auto"/>
        </w:rPr>
      </w:pPr>
      <w:r w:rsidRPr="00BB0043">
        <w:rPr>
          <w:color w:val="auto"/>
        </w:rPr>
        <w:t>На 3 декември 2012 г. Европейската комисия прие предложение за директива относно достъпността на интернет страниците на органите на публичния сект</w:t>
      </w:r>
      <w:r>
        <w:rPr>
          <w:color w:val="auto"/>
        </w:rPr>
        <w:t xml:space="preserve">ор. Тя </w:t>
      </w:r>
      <w:r w:rsidRPr="00BB0043">
        <w:rPr>
          <w:color w:val="auto"/>
        </w:rPr>
        <w:t xml:space="preserve"> въве</w:t>
      </w:r>
      <w:r>
        <w:rPr>
          <w:color w:val="auto"/>
        </w:rPr>
        <w:t>жда</w:t>
      </w:r>
      <w:r w:rsidRPr="00BB0043">
        <w:rPr>
          <w:color w:val="auto"/>
        </w:rPr>
        <w:t xml:space="preserve">  задължителни ЕС станда</w:t>
      </w:r>
      <w:r>
        <w:rPr>
          <w:color w:val="auto"/>
        </w:rPr>
        <w:t>ртизирани функции за достъпност</w:t>
      </w:r>
      <w:r w:rsidRPr="00BB0043">
        <w:rPr>
          <w:color w:val="auto"/>
        </w:rPr>
        <w:t xml:space="preserve"> от края на 2015 г., за 12 вида уеб сайтове, включително сайтове за основните държавни</w:t>
      </w:r>
      <w:r>
        <w:rPr>
          <w:color w:val="auto"/>
        </w:rPr>
        <w:t xml:space="preserve"> услуги като социално</w:t>
      </w:r>
      <w:r w:rsidRPr="00BB0043">
        <w:rPr>
          <w:color w:val="auto"/>
        </w:rPr>
        <w:t xml:space="preserve"> </w:t>
      </w:r>
      <w:r>
        <w:rPr>
          <w:color w:val="auto"/>
        </w:rPr>
        <w:t>осигуряване</w:t>
      </w:r>
      <w:r w:rsidRPr="00BB0043">
        <w:rPr>
          <w:color w:val="auto"/>
        </w:rPr>
        <w:t xml:space="preserve"> и здравн</w:t>
      </w:r>
      <w:r>
        <w:rPr>
          <w:color w:val="auto"/>
        </w:rPr>
        <w:t>и услуги, свързани с търсене на</w:t>
      </w:r>
      <w:r w:rsidRPr="00BB0043">
        <w:rPr>
          <w:color w:val="auto"/>
        </w:rPr>
        <w:t xml:space="preserve"> работа, </w:t>
      </w:r>
      <w:r>
        <w:rPr>
          <w:color w:val="auto"/>
        </w:rPr>
        <w:t>кандидатстване за университети</w:t>
      </w:r>
      <w:r w:rsidRPr="00BB0043">
        <w:rPr>
          <w:color w:val="auto"/>
        </w:rPr>
        <w:t xml:space="preserve"> и</w:t>
      </w:r>
      <w:r w:rsidRPr="00E30623">
        <w:rPr>
          <w:color w:val="auto"/>
        </w:rPr>
        <w:t xml:space="preserve"> издаване на лични документи и сертификати.</w:t>
      </w:r>
    </w:p>
    <w:p w:rsidR="003A08D1" w:rsidRPr="00E30623" w:rsidRDefault="003A08D1" w:rsidP="00C93CA2">
      <w:pPr>
        <w:pStyle w:val="Default"/>
        <w:ind w:firstLine="708"/>
        <w:jc w:val="both"/>
        <w:rPr>
          <w:color w:val="auto"/>
        </w:rPr>
      </w:pPr>
      <w:r w:rsidRPr="00E30623">
        <w:rPr>
          <w:color w:val="auto"/>
        </w:rPr>
        <w:t>По отно</w:t>
      </w:r>
      <w:r>
        <w:rPr>
          <w:color w:val="auto"/>
        </w:rPr>
        <w:t>шение на цифровата грамотност, п</w:t>
      </w:r>
      <w:r w:rsidRPr="00E30623">
        <w:rPr>
          <w:color w:val="auto"/>
        </w:rPr>
        <w:t xml:space="preserve">ътната карта </w:t>
      </w:r>
      <w:r>
        <w:rPr>
          <w:color w:val="auto"/>
        </w:rPr>
        <w:t xml:space="preserve">от </w:t>
      </w:r>
      <w:r w:rsidRPr="00E30623">
        <w:rPr>
          <w:color w:val="auto"/>
        </w:rPr>
        <w:t>Гданск за елект</w:t>
      </w:r>
      <w:r>
        <w:rPr>
          <w:color w:val="auto"/>
        </w:rPr>
        <w:t>ронно приобщаване е разработена</w:t>
      </w:r>
      <w:r w:rsidRPr="00E30623">
        <w:rPr>
          <w:color w:val="auto"/>
        </w:rPr>
        <w:t xml:space="preserve"> чрез консултации със заинтересованит</w:t>
      </w:r>
      <w:r>
        <w:rPr>
          <w:color w:val="auto"/>
        </w:rPr>
        <w:t xml:space="preserve">е страни и е разпространена </w:t>
      </w:r>
      <w:r w:rsidRPr="00E30623">
        <w:rPr>
          <w:color w:val="auto"/>
        </w:rPr>
        <w:t>през октомври 2011 год</w:t>
      </w:r>
      <w:r>
        <w:rPr>
          <w:color w:val="auto"/>
        </w:rPr>
        <w:t>ина. Въпреки това, развитието в</w:t>
      </w:r>
      <w:r w:rsidRPr="00E30623">
        <w:rPr>
          <w:color w:val="auto"/>
        </w:rPr>
        <w:t xml:space="preserve"> държавите-членки на дългосрочните</w:t>
      </w:r>
      <w:r>
        <w:rPr>
          <w:color w:val="auto"/>
        </w:rPr>
        <w:t xml:space="preserve"> електронни умения и</w:t>
      </w:r>
      <w:r w:rsidRPr="00E30623">
        <w:rPr>
          <w:color w:val="auto"/>
        </w:rPr>
        <w:t xml:space="preserve"> политики за </w:t>
      </w:r>
      <w:r>
        <w:rPr>
          <w:color w:val="auto"/>
        </w:rPr>
        <w:t>цифрова</w:t>
      </w:r>
      <w:r w:rsidRPr="00E30623">
        <w:rPr>
          <w:color w:val="auto"/>
        </w:rPr>
        <w:t xml:space="preserve"> грамотност, което трябваше да бъде решено до края на 2011 г., все още не е</w:t>
      </w:r>
      <w:r>
        <w:rPr>
          <w:color w:val="auto"/>
        </w:rPr>
        <w:t xml:space="preserve"> изпълнено</w:t>
      </w:r>
      <w:r w:rsidRPr="00E30623">
        <w:rPr>
          <w:color w:val="auto"/>
        </w:rPr>
        <w:t xml:space="preserve"> във всички държави-членки.</w:t>
      </w:r>
    </w:p>
    <w:p w:rsidR="003A08D1" w:rsidRPr="00E30623" w:rsidRDefault="003A08D1" w:rsidP="00C93CA2">
      <w:pPr>
        <w:pStyle w:val="Default"/>
        <w:ind w:firstLine="708"/>
        <w:jc w:val="both"/>
        <w:rPr>
          <w:color w:val="auto"/>
        </w:rPr>
      </w:pPr>
      <w:r w:rsidRPr="00E30623">
        <w:rPr>
          <w:color w:val="auto"/>
        </w:rPr>
        <w:t>Развитието на онлайн интерактивна платформа за обучение на потребителите, включително материали за новите медийни технологии и медийна грамотност доведе до обща образователна интернет с</w:t>
      </w:r>
      <w:r>
        <w:rPr>
          <w:color w:val="auto"/>
        </w:rPr>
        <w:t>траница, наречена "Класна стая з</w:t>
      </w:r>
      <w:r w:rsidRPr="00E30623">
        <w:rPr>
          <w:color w:val="auto"/>
        </w:rPr>
        <w:t>а потребителите", насочена към учители на 12-18 годишни деца, която стартира на 15 март 2013. Актуализ</w:t>
      </w:r>
      <w:r>
        <w:rPr>
          <w:color w:val="auto"/>
        </w:rPr>
        <w:t xml:space="preserve">ираният кодекс за правата на ЕС онлайн </w:t>
      </w:r>
      <w:r w:rsidRPr="00E30623">
        <w:rPr>
          <w:color w:val="auto"/>
        </w:rPr>
        <w:t>взема под внимание най-новите законодателни промени.</w:t>
      </w:r>
    </w:p>
    <w:p w:rsidR="003A08D1" w:rsidRPr="00E30623" w:rsidRDefault="003A08D1" w:rsidP="00FA39D0">
      <w:pPr>
        <w:pStyle w:val="Default"/>
        <w:ind w:firstLine="708"/>
        <w:jc w:val="both"/>
        <w:rPr>
          <w:color w:val="auto"/>
          <w:lang w:val="ru-RU"/>
        </w:rPr>
      </w:pPr>
      <w:r>
        <w:rPr>
          <w:color w:val="auto"/>
        </w:rPr>
        <w:t>Р</w:t>
      </w:r>
      <w:r w:rsidRPr="00E30623">
        <w:rPr>
          <w:color w:val="auto"/>
        </w:rPr>
        <w:t>аботата по идентифициране и признаване н</w:t>
      </w:r>
      <w:r>
        <w:rPr>
          <w:color w:val="auto"/>
        </w:rPr>
        <w:t>а цифровата грамотност</w:t>
      </w:r>
      <w:r w:rsidRPr="00E30623">
        <w:rPr>
          <w:color w:val="auto"/>
        </w:rPr>
        <w:t>/ компетенции е интегрирана в</w:t>
      </w:r>
      <w:r>
        <w:rPr>
          <w:color w:val="auto"/>
        </w:rPr>
        <w:t xml:space="preserve"> Голямата коалиция за цифрови работни места.</w:t>
      </w:r>
      <w:r w:rsidRPr="00E30623">
        <w:rPr>
          <w:color w:val="auto"/>
        </w:rPr>
        <w:t xml:space="preserve"> </w:t>
      </w:r>
    </w:p>
    <w:p w:rsidR="003A08D1" w:rsidRPr="00E30623" w:rsidRDefault="003A08D1" w:rsidP="00FA39D0">
      <w:pPr>
        <w:pStyle w:val="Default"/>
        <w:jc w:val="both"/>
        <w:rPr>
          <w:color w:val="auto"/>
        </w:rPr>
      </w:pPr>
    </w:p>
    <w:p w:rsidR="003A08D1" w:rsidRPr="00E30623" w:rsidRDefault="003A08D1" w:rsidP="00FA39D0">
      <w:pPr>
        <w:pStyle w:val="Default"/>
        <w:jc w:val="both"/>
        <w:outlineLvl w:val="0"/>
        <w:rPr>
          <w:color w:val="auto"/>
        </w:rPr>
      </w:pPr>
      <w:r w:rsidRPr="00E30623">
        <w:rPr>
          <w:b/>
          <w:bCs/>
          <w:color w:val="auto"/>
        </w:rPr>
        <w:t xml:space="preserve">7. </w:t>
      </w:r>
      <w:r w:rsidRPr="00E30623">
        <w:rPr>
          <w:color w:val="auto"/>
        </w:rPr>
        <w:t xml:space="preserve"> </w:t>
      </w:r>
      <w:r w:rsidRPr="00D531D1">
        <w:rPr>
          <w:b/>
          <w:color w:val="auto"/>
        </w:rPr>
        <w:t>Ползи от ИКТ за обществото в ЕС</w:t>
      </w:r>
    </w:p>
    <w:p w:rsidR="003A08D1" w:rsidRPr="00E30623" w:rsidRDefault="003A08D1" w:rsidP="00FA39D0">
      <w:pPr>
        <w:pStyle w:val="Default"/>
        <w:jc w:val="both"/>
        <w:rPr>
          <w:color w:val="auto"/>
        </w:rPr>
      </w:pPr>
    </w:p>
    <w:p w:rsidR="003A08D1" w:rsidRDefault="003A08D1" w:rsidP="00976365">
      <w:pPr>
        <w:ind w:firstLine="708"/>
        <w:jc w:val="both"/>
      </w:pPr>
      <w:r>
        <w:t>ИКТ е част от много инициативи в сферата на политиката и  не се ограничава до политика в областта на технологиите или ИКТ сектора. През 2012г., основни инициативи са енергийната ефективност, интелигентния транспорт, здравеопазването, културното наследство и ефикасната публична администрация.</w:t>
      </w:r>
    </w:p>
    <w:p w:rsidR="003A08D1" w:rsidRDefault="003A08D1" w:rsidP="00976365">
      <w:pPr>
        <w:ind w:firstLine="708"/>
        <w:jc w:val="both"/>
        <w:rPr>
          <w:lang w:eastAsia="en-GB"/>
        </w:rPr>
      </w:pPr>
      <w:r>
        <w:t>Новата Директива за енергийна ефективност 2012/27/ЕС беше приета на 25 октомври 2012 г. Тя предвижда основната роля за подобрения, свързани с енергийната ефективност посредством обществени поръчки за енергийно-ефективни продукти и услуги да  бъде на публичния сектор.</w:t>
      </w:r>
      <w:r w:rsidRPr="00511C5F">
        <w:rPr>
          <w:lang w:val="ru-RU"/>
        </w:rPr>
        <w:t xml:space="preserve"> </w:t>
      </w:r>
      <w:r>
        <w:t>Критериите за зелени обществени поръчки за улично и вътрешно осветление бяха публикувани в началото на 2012 г. Крайните резултати от проучването за методики за измерване потенциала на интелигентни електроенергийни мрежи и намаляване емисиите на парниковите газове</w:t>
      </w:r>
      <w:r>
        <w:rPr>
          <w:lang w:eastAsia="en-GB"/>
        </w:rPr>
        <w:t xml:space="preserve"> беше приключено на 4 юни 2012 г.</w:t>
      </w:r>
    </w:p>
    <w:p w:rsidR="003A08D1" w:rsidRDefault="003A08D1" w:rsidP="00F415C6">
      <w:pPr>
        <w:ind w:firstLine="708"/>
        <w:jc w:val="both"/>
      </w:pPr>
      <w:r>
        <w:rPr>
          <w:lang w:eastAsia="en-GB"/>
        </w:rPr>
        <w:t xml:space="preserve">Що се отнася до интелигентните транспорт и енергия, на 10 юли 2012 г. Европейската комисия даде началото на Европейско партньорство за иновации за интелигентни градове и общини </w:t>
      </w:r>
      <w:r w:rsidRPr="00B71EBE">
        <w:rPr>
          <w:lang w:val="ru-RU" w:eastAsia="en-GB"/>
        </w:rPr>
        <w:t xml:space="preserve"> </w:t>
      </w:r>
      <w:r>
        <w:rPr>
          <w:lang w:eastAsia="en-GB"/>
        </w:rPr>
        <w:t xml:space="preserve">чрез присъединяване на ИКТ към съществуващия план </w:t>
      </w:r>
      <w:r>
        <w:rPr>
          <w:lang w:val="en-US" w:eastAsia="en-GB"/>
        </w:rPr>
        <w:t>SET</w:t>
      </w:r>
      <w:r>
        <w:rPr>
          <w:lang w:eastAsia="en-GB"/>
        </w:rPr>
        <w:t xml:space="preserve">. Това партньорство ще свърже търсенето и предлагането на иновативни решения, обединено проучване и иновативни източници от енергетиката, транспорта и ИКТ и ще ги насочи към действия, които показват и разпространяват разходно-ефективни технологични и иновативни нетехнологични решения, които са на прага на търговското реализиране (комерсиализация). Що се отнася до подкрепата на ЕС за препоръчване на търговски измерими решения, само за 2013 г., 365 млн. </w:t>
      </w:r>
      <w:r>
        <w:t>€ от фондовете на ЕС са били отделени за предоставянето на тези видове градски технологични решения.</w:t>
      </w:r>
    </w:p>
    <w:p w:rsidR="003A08D1" w:rsidRDefault="003A08D1" w:rsidP="00F415C6">
      <w:pPr>
        <w:ind w:firstLine="708"/>
        <w:jc w:val="both"/>
      </w:pPr>
      <w:r>
        <w:t>В здравеопазването, мрежата за е-здравеопазване въведена от член 14 на Директива 2011/24 относно правата на пациентите при трансгранично здравно обслужване, която е съставена от национални органи, отговорни за е-здравеопазването, планира да изготви насоки за неизчерпателни данни, предназначени за досиета с обобщени данни за пациента или електронни такива, които биха могли да се обменят трансгранично до ноември 2013 г. Тези насоки ще подобрят оперативната съвместимост между електронните здравни системи и ще осигурят приемственост на грижите и  достъп до сигурни и качествени здравни услуги.</w:t>
      </w:r>
    </w:p>
    <w:p w:rsidR="003A08D1" w:rsidRDefault="003A08D1" w:rsidP="00F415C6">
      <w:pPr>
        <w:ind w:firstLine="708"/>
        <w:jc w:val="both"/>
      </w:pPr>
      <w:r>
        <w:t xml:space="preserve">От гледна точка на културното наследство, на 26 септември 2012 г. Комисията представи стратегия за разкриване пълния потенциал на културния и творческия сектор в ЕС, за да повиши работните места и растежа. Тази стратегия е насочена върху насърчаване на модерна регулаторна среда и по-тясно партньорство между различните политики и в частност култура, образование, индустрия, икономически въпроси, туризъм, градско и регионално развитие и териториално планиране. Предлага се програма </w:t>
      </w:r>
      <w:r w:rsidRPr="008702C1">
        <w:rPr>
          <w:lang w:val="ru-RU"/>
        </w:rPr>
        <w:t>“</w:t>
      </w:r>
      <w:r>
        <w:rPr>
          <w:lang w:val="en-US"/>
        </w:rPr>
        <w:t>Creative</w:t>
      </w:r>
      <w:r w:rsidRPr="008702C1">
        <w:rPr>
          <w:lang w:val="ru-RU"/>
        </w:rPr>
        <w:t xml:space="preserve"> </w:t>
      </w:r>
      <w:r>
        <w:rPr>
          <w:lang w:val="en-US"/>
        </w:rPr>
        <w:t>Europe</w:t>
      </w:r>
      <w:r w:rsidRPr="008702C1">
        <w:rPr>
          <w:lang w:val="ru-RU"/>
        </w:rPr>
        <w:t xml:space="preserve">” </w:t>
      </w:r>
      <w:r>
        <w:t>за 1.8млрд.</w:t>
      </w:r>
      <w:r w:rsidRPr="008702C1">
        <w:t xml:space="preserve"> </w:t>
      </w:r>
      <w:r>
        <w:t>€ за периода 2014-2020 г.</w:t>
      </w:r>
    </w:p>
    <w:p w:rsidR="003A08D1" w:rsidRDefault="003A08D1" w:rsidP="00F415C6">
      <w:pPr>
        <w:ind w:firstLine="708"/>
        <w:jc w:val="both"/>
      </w:pPr>
      <w:r>
        <w:t>Препоръката на Комисията относно цифровизацията на кината (първоначално планирана за 2011г.) се превърна в предложение за препоръка на Съвета, свързана с европейското кино в ерата на цифровите услуги, с увеличаващ се обхват включващ филмово наследство, нови модели онлайн разпространение и медийна хронология. Насрочена е да бъде приета през втората четвърт на 2013 г.</w:t>
      </w:r>
    </w:p>
    <w:p w:rsidR="003A08D1" w:rsidRDefault="003A08D1" w:rsidP="00F415C6">
      <w:pPr>
        <w:ind w:firstLine="708"/>
        <w:jc w:val="both"/>
      </w:pPr>
      <w:r>
        <w:t>Що се отнася до подобряване ефективността на публичната администрация, Европейската комисия прие амбициозна ИТ стратегия „</w:t>
      </w:r>
      <w:r>
        <w:rPr>
          <w:lang w:val="en-US"/>
        </w:rPr>
        <w:t>e</w:t>
      </w:r>
      <w:r w:rsidRPr="00D43BC4">
        <w:rPr>
          <w:lang w:val="ru-RU"/>
        </w:rPr>
        <w:t>-</w:t>
      </w:r>
      <w:r>
        <w:rPr>
          <w:lang w:val="en-US"/>
        </w:rPr>
        <w:t>Commission</w:t>
      </w:r>
      <w:r w:rsidRPr="00D43BC4">
        <w:rPr>
          <w:lang w:val="ru-RU"/>
        </w:rPr>
        <w:t xml:space="preserve"> 2012-2</w:t>
      </w:r>
      <w:r>
        <w:rPr>
          <w:lang w:val="ru-RU"/>
        </w:rPr>
        <w:t>0</w:t>
      </w:r>
      <w:r w:rsidRPr="00D43BC4">
        <w:rPr>
          <w:lang w:val="ru-RU"/>
        </w:rPr>
        <w:t xml:space="preserve">15” </w:t>
      </w:r>
      <w:r>
        <w:t xml:space="preserve">на        1 август 2012 г. Новата стратегия цели да подобри прозрачността на дейността на Комисията и да премахне цифровите бариери между европейските публични администрации. Стратегията е ръководена от принципи като отвореност и повторна употреба. Ще бъде осъществена посредством „пълзящ” план за действие, който се обновява на годишна база. На 17 декември 2012 г. беше публикуван преглед на публичния достъп до информация за околната среда, разкривайки че приложението на директивата съществено е подобрило достъпа до информация за околната среда, при поискване. </w:t>
      </w:r>
    </w:p>
    <w:p w:rsidR="003A08D1" w:rsidRDefault="003A08D1" w:rsidP="00F415C6">
      <w:pPr>
        <w:ind w:firstLine="708"/>
        <w:jc w:val="both"/>
      </w:pPr>
      <w:r>
        <w:rPr>
          <w:lang w:val="ru-RU"/>
        </w:rPr>
        <w:t xml:space="preserve">И накрая, четвъртата среща на експертната група на е-правителството се проведе на 22 февруари 2013 г. Държавите-членки  и Комисията изтъкнаха напредъка, свързан с трансгранична дейност по предоставяне на </w:t>
      </w:r>
      <w:r>
        <w:t xml:space="preserve">публични </w:t>
      </w:r>
      <w:r>
        <w:rPr>
          <w:lang w:val="ru-RU"/>
        </w:rPr>
        <w:t xml:space="preserve">услуги в новия широкообхватен пилотен проект </w:t>
      </w:r>
      <w:r>
        <w:rPr>
          <w:lang w:val="en-US"/>
        </w:rPr>
        <w:t>eSENS</w:t>
      </w:r>
      <w:r w:rsidRPr="004E4A0A">
        <w:rPr>
          <w:lang w:val="ru-RU"/>
        </w:rPr>
        <w:t xml:space="preserve"> (</w:t>
      </w:r>
      <w:r w:rsidRPr="000C7A82">
        <w:rPr>
          <w:lang w:eastAsia="en-GB"/>
        </w:rPr>
        <w:t>Large Scale Pilot eSENS</w:t>
      </w:r>
      <w:r w:rsidRPr="004E4A0A">
        <w:rPr>
          <w:lang w:val="ru-RU" w:eastAsia="en-GB"/>
        </w:rPr>
        <w:t>)</w:t>
      </w:r>
      <w:r>
        <w:rPr>
          <w:lang w:eastAsia="en-GB"/>
        </w:rPr>
        <w:t xml:space="preserve">. </w:t>
      </w:r>
      <w:r>
        <w:t>На тази среща експертната група на е-правителството се съгласи да подкрепи редица области и фактори от ключово значение за цифровите трансгранични обществени услуги.</w:t>
      </w:r>
    </w:p>
    <w:p w:rsidR="003A08D1" w:rsidRDefault="003A08D1" w:rsidP="00976365">
      <w:pPr>
        <w:jc w:val="both"/>
      </w:pPr>
    </w:p>
    <w:p w:rsidR="003A08D1" w:rsidRDefault="003A08D1" w:rsidP="00976365">
      <w:pPr>
        <w:jc w:val="both"/>
        <w:rPr>
          <w:b/>
        </w:rPr>
      </w:pPr>
      <w:r>
        <w:rPr>
          <w:b/>
        </w:rPr>
        <w:t>Преглед на Цифровата програма през 2012</w:t>
      </w:r>
    </w:p>
    <w:p w:rsidR="003A08D1" w:rsidRDefault="003A08D1" w:rsidP="00976365">
      <w:pPr>
        <w:jc w:val="both"/>
      </w:pPr>
    </w:p>
    <w:p w:rsidR="003A08D1" w:rsidRDefault="003A08D1" w:rsidP="00F415C6">
      <w:pPr>
        <w:ind w:firstLine="360"/>
        <w:jc w:val="both"/>
      </w:pPr>
      <w:r>
        <w:t xml:space="preserve">Комисията направи преглед на ЦПЕ през декември 2012 </w:t>
      </w:r>
      <w:hyperlink r:id="rId17" w:history="1">
        <w:r w:rsidRPr="00F53E3A">
          <w:rPr>
            <w:rStyle w:val="Hyperlink"/>
          </w:rPr>
          <w:t>http://ec.europa.eu/digital-agenda/en/news/digital-do-list-new-digital-priorities-2013-2014</w:t>
        </w:r>
      </w:hyperlink>
      <w:r w:rsidRPr="005A2C13">
        <w:t xml:space="preserve"> </w:t>
      </w:r>
      <w:r>
        <w:t>и предложи следните допълнения към програмата:</w:t>
      </w:r>
    </w:p>
    <w:p w:rsidR="003A08D1" w:rsidRDefault="003A08D1" w:rsidP="00976365">
      <w:pPr>
        <w:numPr>
          <w:ilvl w:val="0"/>
          <w:numId w:val="2"/>
        </w:numPr>
        <w:jc w:val="both"/>
      </w:pPr>
      <w:r>
        <w:t>Създаване на най-богатия и разнообразен единен цифров пазар в света за съдържание и услуги;</w:t>
      </w:r>
    </w:p>
    <w:p w:rsidR="003A08D1" w:rsidRDefault="003A08D1" w:rsidP="00976365">
      <w:pPr>
        <w:numPr>
          <w:ilvl w:val="0"/>
          <w:numId w:val="2"/>
        </w:numPr>
        <w:jc w:val="both"/>
      </w:pPr>
      <w:r>
        <w:t>Ускоряване на иновациите в публичния сектор;</w:t>
      </w:r>
    </w:p>
    <w:p w:rsidR="003A08D1" w:rsidRDefault="003A08D1" w:rsidP="00976365">
      <w:pPr>
        <w:numPr>
          <w:ilvl w:val="0"/>
          <w:numId w:val="2"/>
        </w:numPr>
        <w:jc w:val="both"/>
      </w:pPr>
      <w:r>
        <w:t>Насърчаване на частните инвестиции във високоскоростни фиксирани и мобилни мрежи за широколентов достъп;</w:t>
      </w:r>
    </w:p>
    <w:p w:rsidR="003A08D1" w:rsidRDefault="003A08D1" w:rsidP="00976365">
      <w:pPr>
        <w:numPr>
          <w:ilvl w:val="0"/>
          <w:numId w:val="2"/>
        </w:numPr>
        <w:jc w:val="both"/>
      </w:pPr>
      <w:r>
        <w:t>Създаване на най-големия в света ИКТ пазар за облачни услуги;</w:t>
      </w:r>
    </w:p>
    <w:p w:rsidR="003A08D1" w:rsidRDefault="003A08D1" w:rsidP="00976365">
      <w:pPr>
        <w:numPr>
          <w:ilvl w:val="0"/>
          <w:numId w:val="2"/>
        </w:numPr>
        <w:jc w:val="both"/>
      </w:pPr>
      <w:r>
        <w:t>Насърчаване на сигурна и надеждна интернет среда;</w:t>
      </w:r>
    </w:p>
    <w:p w:rsidR="003A08D1" w:rsidRDefault="003A08D1" w:rsidP="00976365">
      <w:pPr>
        <w:numPr>
          <w:ilvl w:val="0"/>
          <w:numId w:val="2"/>
        </w:numPr>
        <w:jc w:val="both"/>
      </w:pPr>
      <w:r>
        <w:t>Насърчаване на иновативните уеб-базирани предприятия и стимулиране на цифровите умения;</w:t>
      </w:r>
    </w:p>
    <w:p w:rsidR="003A08D1" w:rsidRDefault="003A08D1" w:rsidP="00976365">
      <w:pPr>
        <w:numPr>
          <w:ilvl w:val="0"/>
          <w:numId w:val="2"/>
        </w:numPr>
        <w:jc w:val="both"/>
      </w:pPr>
      <w:r>
        <w:t>Финансиране на  базови технологии.</w:t>
      </w:r>
    </w:p>
    <w:p w:rsidR="003A08D1" w:rsidRDefault="003A08D1" w:rsidP="00976365">
      <w:pPr>
        <w:jc w:val="both"/>
      </w:pPr>
      <w:r>
        <w:t>За всяка една от тези области се предлагат следните мерки, част от които вече изпълнени:</w:t>
      </w:r>
    </w:p>
    <w:p w:rsidR="003A08D1" w:rsidRDefault="003A08D1" w:rsidP="00976365">
      <w:pPr>
        <w:jc w:val="both"/>
      </w:pPr>
    </w:p>
    <w:p w:rsidR="003A08D1" w:rsidRDefault="003A08D1" w:rsidP="00976365">
      <w:pPr>
        <w:numPr>
          <w:ilvl w:val="1"/>
          <w:numId w:val="2"/>
        </w:numPr>
        <w:jc w:val="both"/>
      </w:pPr>
      <w:r>
        <w:t>Европейското партньорство за изчисления в облак, обединяващо индустрията и публичния сектор за създаване на цифровия единен пазар за изчисления в облак в Европа, беше основано на 19 ноември 2012 г.</w:t>
      </w:r>
    </w:p>
    <w:p w:rsidR="003A08D1" w:rsidRDefault="003A08D1" w:rsidP="00976365">
      <w:pPr>
        <w:numPr>
          <w:ilvl w:val="1"/>
          <w:numId w:val="2"/>
        </w:numPr>
        <w:jc w:val="both"/>
      </w:pPr>
      <w:r>
        <w:t>На 5 декември 2012 г., Комисията стартира Световен съюз срещу сексуалното малтретиране на деца онлайн в тясно сътрудничество с държавите-членки от ЕС и САЩ.</w:t>
      </w:r>
    </w:p>
    <w:p w:rsidR="003A08D1" w:rsidRDefault="003A08D1" w:rsidP="00976365">
      <w:pPr>
        <w:numPr>
          <w:ilvl w:val="1"/>
          <w:numId w:val="2"/>
        </w:numPr>
        <w:jc w:val="both"/>
      </w:pPr>
      <w:r>
        <w:t>На 19 декември 2012 г. Европейската комисия прие преработени насоки за приложението на правилата за държавна помощ на ЕС към сектора за широколентов достъп, за задълженията за отворен достъп и подобрени правила за прозрачност.</w:t>
      </w:r>
    </w:p>
    <w:p w:rsidR="003A08D1" w:rsidRDefault="003A08D1" w:rsidP="00976365">
      <w:pPr>
        <w:numPr>
          <w:ilvl w:val="1"/>
          <w:numId w:val="2"/>
        </w:numPr>
        <w:jc w:val="both"/>
      </w:pPr>
      <w:r>
        <w:t>На 7 февруари 2013 г., Комисията прие  стратегия за киберсигурност „Отворено, сигурно и безопасно киберпространство”, представяща  визията на ЕС  за  предотвратяване и  реакция  на кибер смущения и атаки.</w:t>
      </w:r>
    </w:p>
    <w:p w:rsidR="003A08D1" w:rsidRDefault="003A08D1" w:rsidP="00976365">
      <w:pPr>
        <w:numPr>
          <w:ilvl w:val="1"/>
          <w:numId w:val="2"/>
        </w:numPr>
        <w:jc w:val="both"/>
      </w:pPr>
      <w:r>
        <w:t>В същото време, бе прието предложение за Директива за сигурността на мрежите и информацията, основна компонента от цялостната стратегия, изискваща от всички държави-членки и оператори на критична инфраструктура да осигурят сигурна и надежда цифрова среда в ЕС.</w:t>
      </w:r>
    </w:p>
    <w:p w:rsidR="003A08D1" w:rsidRDefault="003A08D1" w:rsidP="00976365">
      <w:pPr>
        <w:numPr>
          <w:ilvl w:val="1"/>
          <w:numId w:val="2"/>
        </w:numPr>
        <w:jc w:val="both"/>
      </w:pPr>
      <w:r>
        <w:t>На 4 март 2013 г. Комисията стартира Голямата коалиция за работни места, свързана с използването на цифрови технологии, партньорство с участието на множество заинтересовани страни, насочена към постоянния голям брой незаети работни места за ИКТ специалисти.</w:t>
      </w:r>
    </w:p>
    <w:p w:rsidR="003A08D1" w:rsidRDefault="003A08D1" w:rsidP="00976365">
      <w:pPr>
        <w:numPr>
          <w:ilvl w:val="1"/>
          <w:numId w:val="2"/>
        </w:numPr>
        <w:jc w:val="both"/>
      </w:pPr>
      <w:r>
        <w:t>На 26 март 2013 г., Комисията прие предложение за регламент за намаляване разходите за  строителни дейности, които са приблизително 80% от разходите за инсталиране на мрежи за широколентов достъп. Регламентът би могъл да спести между 40 и 60 млрд. € или повече от 30% от общите инвестиционни разходи.</w:t>
      </w:r>
    </w:p>
    <w:p w:rsidR="003A08D1" w:rsidRDefault="003A08D1" w:rsidP="00976365">
      <w:pPr>
        <w:numPr>
          <w:ilvl w:val="1"/>
          <w:numId w:val="2"/>
        </w:numPr>
        <w:jc w:val="both"/>
      </w:pPr>
      <w:r>
        <w:t>На 24 април 2013 г., Комисията прие Зелена книга: Подготовка за напълно свързан  аудио-визуален свят</w:t>
      </w:r>
      <w:r w:rsidRPr="00635090">
        <w:rPr>
          <w:lang w:val="ru-RU"/>
        </w:rPr>
        <w:t xml:space="preserve">: </w:t>
      </w:r>
      <w:r>
        <w:t>Растеж, създаване на стойност, изследващи  конвергенцията на цифрови технологии и съдържание  за европейския икономически растеж и иновации, културно многообразие и потребители, особено онези, които  се нуждаят от закрила, например децата.</w:t>
      </w:r>
    </w:p>
    <w:p w:rsidR="003A08D1" w:rsidRDefault="003A08D1" w:rsidP="00976365">
      <w:pPr>
        <w:numPr>
          <w:ilvl w:val="1"/>
          <w:numId w:val="2"/>
        </w:numPr>
        <w:jc w:val="both"/>
      </w:pPr>
      <w:r>
        <w:t>На 23 май 2013 г., Комисията предложи нова европейска индустриална стратегия за електроника. Чрез по-добро координиране на публичните инвестиции в микро- и нано-електрониката (като полупроводници и компютърни чипове), замислено е да се разшири европейската модерна производствена база и да се пуснат в действие 100 млрд. € за нови частни инвестиции. Бяха стартирани 5 големи проекта като първа стъпка за осъществяването на стратегията.</w:t>
      </w:r>
    </w:p>
    <w:p w:rsidR="003A08D1" w:rsidRDefault="003A08D1" w:rsidP="00976365">
      <w:pPr>
        <w:jc w:val="both"/>
      </w:pPr>
    </w:p>
    <w:p w:rsidR="003A08D1" w:rsidRPr="005A2C13" w:rsidRDefault="003A08D1" w:rsidP="00FA39D0">
      <w:pPr>
        <w:pStyle w:val="Default"/>
        <w:jc w:val="both"/>
        <w:rPr>
          <w:color w:val="auto"/>
        </w:rPr>
      </w:pPr>
      <w:r w:rsidRPr="00E30623">
        <w:rPr>
          <w:color w:val="auto"/>
        </w:rPr>
        <w:t xml:space="preserve">Подробен анализ на напредъка </w:t>
      </w:r>
      <w:r>
        <w:rPr>
          <w:color w:val="auto"/>
        </w:rPr>
        <w:t xml:space="preserve">по ЦПЕ , </w:t>
      </w:r>
      <w:r w:rsidRPr="00E30623">
        <w:rPr>
          <w:color w:val="auto"/>
        </w:rPr>
        <w:t>както и повече</w:t>
      </w:r>
      <w:r>
        <w:rPr>
          <w:color w:val="auto"/>
        </w:rPr>
        <w:t xml:space="preserve"> индикатори може да се видят на</w:t>
      </w:r>
      <w:r w:rsidRPr="00E30623">
        <w:rPr>
          <w:color w:val="auto"/>
        </w:rPr>
        <w:t>:</w:t>
      </w:r>
      <w:r>
        <w:rPr>
          <w:color w:val="auto"/>
        </w:rPr>
        <w:t xml:space="preserve"> </w:t>
      </w:r>
      <w:hyperlink r:id="rId18" w:history="1">
        <w:r w:rsidRPr="00E30623">
          <w:rPr>
            <w:rStyle w:val="Hyperlink"/>
          </w:rPr>
          <w:t>http://ec.europa.eu/information_society/digital-agenda/scoreboard/index_en.htm</w:t>
        </w:r>
      </w:hyperlink>
      <w:r>
        <w:t>.</w:t>
      </w:r>
    </w:p>
    <w:p w:rsidR="003A08D1" w:rsidRDefault="003A08D1" w:rsidP="00FA39D0">
      <w:pPr>
        <w:pStyle w:val="Default"/>
        <w:jc w:val="both"/>
      </w:pPr>
    </w:p>
    <w:p w:rsidR="003A08D1" w:rsidRDefault="003A08D1" w:rsidP="00FA39D0">
      <w:pPr>
        <w:pStyle w:val="Default"/>
        <w:jc w:val="both"/>
      </w:pPr>
    </w:p>
    <w:p w:rsidR="003A08D1" w:rsidRDefault="003A08D1" w:rsidP="00FA39D0">
      <w:pPr>
        <w:pStyle w:val="Default"/>
        <w:jc w:val="both"/>
      </w:pPr>
    </w:p>
    <w:p w:rsidR="003A08D1" w:rsidRDefault="003A08D1" w:rsidP="00A655C9">
      <w:pPr>
        <w:pStyle w:val="Default"/>
        <w:jc w:val="both"/>
        <w:rPr>
          <w:b/>
          <w:bCs/>
          <w:i/>
          <w:u w:val="single"/>
        </w:rPr>
      </w:pPr>
      <w:r w:rsidRPr="0024666A">
        <w:rPr>
          <w:b/>
          <w:bCs/>
          <w:i/>
          <w:u w:val="single"/>
        </w:rPr>
        <w:t>Анализ на резултатите за напредъка в изпълнението на</w:t>
      </w:r>
      <w:r>
        <w:rPr>
          <w:b/>
          <w:bCs/>
          <w:i/>
          <w:u w:val="single"/>
        </w:rPr>
        <w:t xml:space="preserve"> България в рамките на </w:t>
      </w:r>
    </w:p>
    <w:p w:rsidR="003A08D1" w:rsidRPr="00120405" w:rsidRDefault="003A08D1" w:rsidP="00A655C9">
      <w:pPr>
        <w:pStyle w:val="Default"/>
        <w:ind w:left="708" w:firstLine="708"/>
        <w:jc w:val="both"/>
        <w:rPr>
          <w:b/>
          <w:i/>
          <w:u w:val="single"/>
          <w:lang w:val="ru-RU"/>
        </w:rPr>
      </w:pPr>
      <w:r w:rsidRPr="0024666A">
        <w:rPr>
          <w:b/>
          <w:i/>
          <w:u w:val="single"/>
        </w:rPr>
        <w:t>Ц</w:t>
      </w:r>
      <w:r w:rsidRPr="0024666A">
        <w:rPr>
          <w:b/>
          <w:i/>
          <w:u w:val="single"/>
          <w:lang w:val="ru-RU"/>
        </w:rPr>
        <w:t>ифров</w:t>
      </w:r>
      <w:r w:rsidRPr="0024666A">
        <w:rPr>
          <w:b/>
          <w:i/>
          <w:u w:val="single"/>
        </w:rPr>
        <w:t>ата програма</w:t>
      </w:r>
      <w:r w:rsidRPr="0024666A">
        <w:rPr>
          <w:b/>
          <w:i/>
          <w:u w:val="single"/>
          <w:lang w:val="ru-RU"/>
        </w:rPr>
        <w:t xml:space="preserve"> за </w:t>
      </w:r>
      <w:r>
        <w:rPr>
          <w:b/>
          <w:i/>
          <w:u w:val="single"/>
          <w:lang w:val="ru-RU"/>
        </w:rPr>
        <w:t xml:space="preserve"> </w:t>
      </w:r>
      <w:r w:rsidRPr="0024666A">
        <w:rPr>
          <w:b/>
          <w:i/>
          <w:u w:val="single"/>
          <w:lang w:val="ru-RU"/>
        </w:rPr>
        <w:t>Европа</w:t>
      </w:r>
      <w:r w:rsidRPr="0024666A">
        <w:rPr>
          <w:b/>
          <w:i/>
          <w:u w:val="single"/>
        </w:rPr>
        <w:t>(</w:t>
      </w:r>
      <w:r w:rsidRPr="0024666A">
        <w:rPr>
          <w:b/>
          <w:bCs/>
          <w:i/>
          <w:u w:val="single"/>
        </w:rPr>
        <w:t>ЦПЕ) към юни 2013 г.</w:t>
      </w:r>
    </w:p>
    <w:p w:rsidR="003A08D1" w:rsidRPr="0024666A" w:rsidRDefault="003A08D1" w:rsidP="00A655C9">
      <w:pPr>
        <w:pStyle w:val="Default"/>
        <w:jc w:val="both"/>
        <w:rPr>
          <w:vertAlign w:val="subscript"/>
        </w:rPr>
      </w:pPr>
    </w:p>
    <w:p w:rsidR="003A08D1" w:rsidRPr="001E0335" w:rsidRDefault="003A08D1" w:rsidP="00A655C9">
      <w:pPr>
        <w:ind w:left="708" w:firstLine="708"/>
        <w:jc w:val="both"/>
      </w:pPr>
      <w:hyperlink r:id="rId19" w:history="1">
        <w:r w:rsidRPr="0036132F">
          <w:rPr>
            <w:rStyle w:val="Hyperlink"/>
          </w:rPr>
          <w:t>https://ec.europa.eu/digital-agenda/en/scoreboard/bulgaria</w:t>
        </w:r>
      </w:hyperlink>
      <w:r w:rsidRPr="001E0335">
        <w:t xml:space="preserve"> </w:t>
      </w:r>
    </w:p>
    <w:p w:rsidR="003A08D1" w:rsidRPr="001E0335" w:rsidRDefault="003A08D1" w:rsidP="00A655C9">
      <w:pPr>
        <w:jc w:val="both"/>
      </w:pPr>
    </w:p>
    <w:p w:rsidR="003A08D1" w:rsidRPr="0024666A" w:rsidRDefault="003A08D1" w:rsidP="00A655C9">
      <w:pPr>
        <w:pStyle w:val="Default"/>
        <w:ind w:left="708"/>
        <w:jc w:val="both"/>
        <w:rPr>
          <w:vertAlign w:val="subscript"/>
        </w:rPr>
      </w:pPr>
    </w:p>
    <w:p w:rsidR="003A08D1" w:rsidRPr="0024666A" w:rsidRDefault="003A08D1" w:rsidP="00A655C9">
      <w:pPr>
        <w:pStyle w:val="Default"/>
        <w:jc w:val="both"/>
        <w:rPr>
          <w:b/>
        </w:rPr>
      </w:pPr>
      <w:r w:rsidRPr="0024666A">
        <w:rPr>
          <w:b/>
        </w:rPr>
        <w:t xml:space="preserve">Съдържание </w:t>
      </w:r>
    </w:p>
    <w:p w:rsidR="003A08D1" w:rsidRPr="0024666A" w:rsidRDefault="003A08D1" w:rsidP="00A655C9">
      <w:pPr>
        <w:pStyle w:val="Default"/>
        <w:jc w:val="both"/>
        <w:rPr>
          <w:b/>
        </w:rPr>
      </w:pPr>
    </w:p>
    <w:p w:rsidR="003A08D1" w:rsidRPr="00120405" w:rsidRDefault="003A08D1" w:rsidP="00A655C9">
      <w:pPr>
        <w:autoSpaceDE w:val="0"/>
        <w:autoSpaceDN w:val="0"/>
        <w:adjustRightInd w:val="0"/>
        <w:jc w:val="both"/>
        <w:rPr>
          <w:b/>
          <w:bCs/>
        </w:rPr>
      </w:pPr>
      <w:r w:rsidRPr="00120405">
        <w:rPr>
          <w:b/>
          <w:bCs/>
        </w:rPr>
        <w:t>Широколентови пазари</w:t>
      </w:r>
      <w:r>
        <w:rPr>
          <w:b/>
          <w:bCs/>
        </w:rPr>
        <w:t>…………………………………………………………1</w:t>
      </w:r>
    </w:p>
    <w:p w:rsidR="003A08D1" w:rsidRDefault="003A08D1" w:rsidP="00A655C9">
      <w:pPr>
        <w:pStyle w:val="Default"/>
        <w:jc w:val="both"/>
        <w:rPr>
          <w:b/>
          <w:color w:val="auto"/>
        </w:rPr>
      </w:pPr>
      <w:r>
        <w:rPr>
          <w:b/>
          <w:color w:val="auto"/>
        </w:rPr>
        <w:t>Ползване на Интернет  и цифрови умения…………………………………..5</w:t>
      </w:r>
    </w:p>
    <w:p w:rsidR="003A08D1" w:rsidRPr="00FA7B28" w:rsidRDefault="003A08D1" w:rsidP="00A655C9">
      <w:pPr>
        <w:pStyle w:val="Default"/>
        <w:jc w:val="both"/>
        <w:rPr>
          <w:b/>
          <w:color w:val="auto"/>
          <w:lang w:val="ru-RU"/>
        </w:rPr>
      </w:pPr>
      <w:r w:rsidRPr="00120405">
        <w:rPr>
          <w:b/>
          <w:color w:val="auto"/>
        </w:rPr>
        <w:t>Е-търговия</w:t>
      </w:r>
      <w:r>
        <w:rPr>
          <w:b/>
          <w:color w:val="auto"/>
        </w:rPr>
        <w:t>………………………………………………………………………1</w:t>
      </w:r>
      <w:r w:rsidRPr="00FA7B28">
        <w:rPr>
          <w:b/>
          <w:color w:val="auto"/>
          <w:lang w:val="ru-RU"/>
        </w:rPr>
        <w:t>3</w:t>
      </w:r>
    </w:p>
    <w:p w:rsidR="003A08D1" w:rsidRPr="00FA7B28" w:rsidRDefault="003A08D1" w:rsidP="00A655C9">
      <w:pPr>
        <w:pStyle w:val="Default"/>
        <w:jc w:val="both"/>
        <w:rPr>
          <w:b/>
          <w:bCs/>
          <w:iCs/>
          <w:lang w:val="ru-RU"/>
        </w:rPr>
      </w:pPr>
      <w:r>
        <w:rPr>
          <w:b/>
          <w:bCs/>
          <w:iCs/>
        </w:rPr>
        <w:t>Е-правителство…………………………………………………………………1</w:t>
      </w:r>
      <w:r w:rsidRPr="00FA7B28">
        <w:rPr>
          <w:b/>
          <w:bCs/>
          <w:iCs/>
          <w:lang w:val="ru-RU"/>
        </w:rPr>
        <w:t>6</w:t>
      </w:r>
    </w:p>
    <w:p w:rsidR="003A08D1" w:rsidRDefault="003A08D1" w:rsidP="00A655C9">
      <w:pPr>
        <w:pStyle w:val="Default"/>
        <w:jc w:val="both"/>
        <w:rPr>
          <w:b/>
          <w:bCs/>
          <w:iCs/>
          <w:lang w:val="ru-RU"/>
        </w:rPr>
      </w:pPr>
      <w:r w:rsidRPr="00CA7834">
        <w:rPr>
          <w:b/>
          <w:bCs/>
          <w:iCs/>
        </w:rPr>
        <w:t>ИКТ R&amp;D и участие в FP7…………………………………………………….</w:t>
      </w:r>
      <w:r w:rsidRPr="00F0519D">
        <w:rPr>
          <w:b/>
          <w:bCs/>
          <w:iCs/>
          <w:lang w:val="ru-RU"/>
        </w:rPr>
        <w:t>19</w:t>
      </w:r>
    </w:p>
    <w:p w:rsidR="003A08D1" w:rsidRPr="00FA7B28" w:rsidRDefault="003A08D1" w:rsidP="00A655C9">
      <w:pPr>
        <w:pStyle w:val="Default"/>
        <w:jc w:val="both"/>
        <w:rPr>
          <w:b/>
          <w:bCs/>
          <w:iCs/>
          <w:lang w:val="ru-RU"/>
        </w:rPr>
      </w:pPr>
      <w:r w:rsidRPr="00FA7B28">
        <w:rPr>
          <w:b/>
        </w:rPr>
        <w:t>ИКТ в образованието</w:t>
      </w:r>
      <w:r>
        <w:rPr>
          <w:b/>
        </w:rPr>
        <w:t>…………………………………………………………..19</w:t>
      </w:r>
    </w:p>
    <w:p w:rsidR="003A08D1" w:rsidRDefault="003A08D1" w:rsidP="00A655C9">
      <w:pPr>
        <w:pStyle w:val="Default"/>
        <w:jc w:val="both"/>
        <w:rPr>
          <w:b/>
          <w:bCs/>
          <w:i/>
          <w:iCs/>
        </w:rPr>
      </w:pPr>
    </w:p>
    <w:p w:rsidR="003A08D1" w:rsidRPr="00487293" w:rsidRDefault="003A08D1" w:rsidP="00A655C9">
      <w:pPr>
        <w:pStyle w:val="Default"/>
        <w:jc w:val="both"/>
        <w:rPr>
          <w:b/>
          <w:color w:val="auto"/>
        </w:rPr>
      </w:pPr>
    </w:p>
    <w:p w:rsidR="003A08D1" w:rsidRPr="00120405" w:rsidRDefault="003A08D1" w:rsidP="00A655C9">
      <w:pPr>
        <w:autoSpaceDE w:val="0"/>
        <w:autoSpaceDN w:val="0"/>
        <w:adjustRightInd w:val="0"/>
        <w:jc w:val="both"/>
        <w:rPr>
          <w:b/>
          <w:bCs/>
        </w:rPr>
      </w:pPr>
      <w:r w:rsidRPr="00120405">
        <w:rPr>
          <w:b/>
          <w:bCs/>
        </w:rPr>
        <w:t>Широколентови пазари</w:t>
      </w:r>
    </w:p>
    <w:p w:rsidR="003A08D1" w:rsidRDefault="003A08D1" w:rsidP="00A655C9">
      <w:pPr>
        <w:jc w:val="both"/>
      </w:pPr>
    </w:p>
    <w:p w:rsidR="003A08D1" w:rsidRDefault="003A08D1" w:rsidP="00A655C9">
      <w:pPr>
        <w:ind w:firstLine="708"/>
        <w:jc w:val="both"/>
      </w:pPr>
      <w:r>
        <w:t>България има относително малко фиксирани широколентови мрежи, но е по-добре от средното за Европа по отношение на достъпа от следващо поколение.  Има ниско  потребление  на фиксирани и мобилни широколентови услуги и все още е засегната от цифровото разделение по отношение на широколентовата  инфраструктура. Тя трябва да подобри широколентовото потребление, както и по-нататъшното насърчаване на инвестициите в широколентова инфраструктура, по-специално в селските райони.</w:t>
      </w:r>
    </w:p>
    <w:p w:rsidR="003A08D1" w:rsidRDefault="003A08D1" w:rsidP="00A655C9">
      <w:pPr>
        <w:ind w:firstLine="708"/>
        <w:jc w:val="both"/>
      </w:pPr>
      <w:r>
        <w:t>През 2012 г. стандартният фиксиран широколентов интернет обхваща 89,6% от домакинствата в България (95,5% в ЕС). Широколентовият интернет от следващото поколение осигуряващ най-малко 30 Mbps пренос към потребителя е достъпен за 60,7% от домакинствата (53,8% в ЕС).</w:t>
      </w:r>
    </w:p>
    <w:p w:rsidR="003A08D1" w:rsidRDefault="003A08D1" w:rsidP="00A655C9">
      <w:pPr>
        <w:ind w:firstLine="708"/>
        <w:jc w:val="both"/>
      </w:pPr>
      <w:r>
        <w:t xml:space="preserve">През януари 2013 г. </w:t>
      </w:r>
      <w:r w:rsidRPr="00FA7B28">
        <w:t>историческият оператор</w:t>
      </w:r>
      <w:r>
        <w:t xml:space="preserve"> е имал пазарен дял далеч под средното европейско ниво (23,2% в сравнение с 42,3% в ЕС). FTTH/</w:t>
      </w:r>
      <w:r w:rsidRPr="00FA7B28">
        <w:t>B</w:t>
      </w:r>
      <w:r>
        <w:t xml:space="preserve"> (оптика до дома /сградата) е най-разпространената технология, осигуряваща широколентов достъп в България.</w:t>
      </w:r>
    </w:p>
    <w:p w:rsidR="003A08D1" w:rsidRDefault="003A08D1" w:rsidP="00A655C9">
      <w:pPr>
        <w:ind w:firstLine="708"/>
        <w:jc w:val="both"/>
      </w:pPr>
      <w:r>
        <w:t>Потреблението (абонаменти като процент от населението) на фиксиран широколентов достъп е 19% през януари 2013 г., по-нисък от средния за Европа от 28,8%, но с 3 процентни пункта по-висок, отколкото през 2012 година.</w:t>
      </w:r>
    </w:p>
    <w:p w:rsidR="003A08D1" w:rsidRDefault="003A08D1" w:rsidP="00A655C9">
      <w:pPr>
        <w:ind w:firstLine="708"/>
        <w:jc w:val="both"/>
      </w:pPr>
      <w:r>
        <w:t>Делът на високоскоростни връзки (най-малко 30 Mbps) е много по-висок от средния (35,1% в сравнение с 14,8% в ЕС), въпреки че ултра-бързите връзки (най-малко 100 Mbps) представляват едва 1,2% от всички абонаменти (3,4% в ЕС).</w:t>
      </w:r>
    </w:p>
    <w:p w:rsidR="003A08D1" w:rsidRDefault="003A08D1" w:rsidP="00A655C9">
      <w:pPr>
        <w:ind w:firstLine="708"/>
        <w:jc w:val="both"/>
      </w:pPr>
      <w:r>
        <w:t xml:space="preserve"> С трето  поколение мобилен широколентов достъп (HSPA) е разполагало 99,4% от населението през 2012 г. (96.3% в ЕС), а четвъртото поколение (LTE) все още не е развито в България. Потреблението (абонаменти като процент от населението) на мобилния  широколентов достъп е 39,7% през януари 2013 г. и  е под средната стойност 54,5% в ЕС.</w:t>
      </w:r>
    </w:p>
    <w:p w:rsidR="003A08D1" w:rsidRPr="0036132F" w:rsidRDefault="003A08D1" w:rsidP="00A655C9">
      <w:pPr>
        <w:jc w:val="both"/>
        <w:rPr>
          <w:color w:val="000000"/>
        </w:rPr>
      </w:pPr>
    </w:p>
    <w:p w:rsidR="003A08D1" w:rsidRDefault="003A08D1" w:rsidP="00A655C9">
      <w:pPr>
        <w:jc w:val="both"/>
      </w:pPr>
    </w:p>
    <w:p w:rsidR="003A08D1" w:rsidRDefault="003A08D1" w:rsidP="00A655C9">
      <w:pPr>
        <w:jc w:val="both"/>
      </w:pPr>
      <w:r>
        <w:pict>
          <v:shape id="_x0000_i1033" type="#_x0000_t75" style="width:5in;height:270pt">
            <v:imagedata r:id="rId20" o:title=""/>
          </v:shape>
        </w:pict>
      </w:r>
    </w:p>
    <w:p w:rsidR="003A08D1" w:rsidRDefault="003A08D1" w:rsidP="00A655C9">
      <w:pPr>
        <w:jc w:val="both"/>
      </w:pPr>
    </w:p>
    <w:p w:rsidR="003A08D1" w:rsidRDefault="003A08D1" w:rsidP="00A655C9">
      <w:pPr>
        <w:jc w:val="both"/>
      </w:pPr>
    </w:p>
    <w:p w:rsidR="003A08D1" w:rsidRDefault="003A08D1" w:rsidP="00A655C9">
      <w:pPr>
        <w:jc w:val="both"/>
      </w:pPr>
      <w:r>
        <w:pict>
          <v:shape id="_x0000_i1034" type="#_x0000_t75" style="width:5in;height:270pt">
            <v:imagedata r:id="rId21" o:title=""/>
          </v:shape>
        </w:pict>
      </w:r>
    </w:p>
    <w:p w:rsidR="003A08D1" w:rsidRDefault="003A08D1" w:rsidP="00A655C9">
      <w:pPr>
        <w:jc w:val="both"/>
      </w:pPr>
    </w:p>
    <w:p w:rsidR="003A08D1" w:rsidRDefault="003A08D1" w:rsidP="00A655C9">
      <w:pPr>
        <w:jc w:val="both"/>
      </w:pPr>
    </w:p>
    <w:p w:rsidR="003A08D1" w:rsidRPr="00E4077E" w:rsidRDefault="003A08D1" w:rsidP="00A655C9">
      <w:pPr>
        <w:jc w:val="both"/>
      </w:pPr>
      <w:r>
        <w:pict>
          <v:shape id="_x0000_i1035" type="#_x0000_t75" style="width:5in;height:270pt">
            <v:imagedata r:id="rId22" o:title=""/>
          </v:shape>
        </w:pict>
      </w:r>
    </w:p>
    <w:p w:rsidR="003A08D1" w:rsidRPr="00E90C55" w:rsidRDefault="003A08D1" w:rsidP="00A655C9">
      <w:pPr>
        <w:pStyle w:val="Heading1"/>
        <w:numPr>
          <w:ilvl w:val="0"/>
          <w:numId w:val="0"/>
        </w:numPr>
        <w:rPr>
          <w:szCs w:val="24"/>
          <w:lang w:val="ru-RU"/>
        </w:rPr>
      </w:pPr>
    </w:p>
    <w:p w:rsidR="003A08D1" w:rsidRPr="003B4AED" w:rsidRDefault="003A08D1" w:rsidP="00A655C9">
      <w:pPr>
        <w:ind w:firstLine="708"/>
        <w:jc w:val="both"/>
        <w:rPr>
          <w:b/>
        </w:rPr>
      </w:pPr>
      <w:r w:rsidRPr="00E90C55">
        <w:t>Общият брой на фиксираните широколентови линии надминава 5.5 милиона</w:t>
      </w:r>
      <w:r>
        <w:t xml:space="preserve"> в Европа</w:t>
      </w:r>
      <w:r w:rsidRPr="00E90C55">
        <w:t>, а проникването (брой линии според населе</w:t>
      </w:r>
      <w:r>
        <w:t>нието) през януари 2013 г. е 28,</w:t>
      </w:r>
      <w:r w:rsidRPr="00E90C55">
        <w:t>8%. 24% от европейските домове не са абонати на интернет</w:t>
      </w:r>
      <w:r w:rsidRPr="00E90C55">
        <w:rPr>
          <w:rStyle w:val="FootnoteReference"/>
        </w:rPr>
        <w:footnoteReference w:id="3"/>
      </w:r>
      <w:r w:rsidRPr="00E90C55">
        <w:t>. Н</w:t>
      </w:r>
      <w:r>
        <w:t>ай-голямо е</w:t>
      </w:r>
      <w:r w:rsidRPr="00E90C55">
        <w:t xml:space="preserve"> проникването на фиксиран ШЛД в Холандия, Дания и Франция, а най-малко – в Румъния, Полша, </w:t>
      </w:r>
      <w:r w:rsidRPr="003B4AED">
        <w:rPr>
          <w:b/>
        </w:rPr>
        <w:t>България</w:t>
      </w:r>
      <w:r w:rsidRPr="00E90C55">
        <w:t xml:space="preserve"> и Словакия. Най-голям ръст на проникването има в Литва, Латвия и </w:t>
      </w:r>
      <w:r w:rsidRPr="003B4AED">
        <w:rPr>
          <w:b/>
        </w:rPr>
        <w:t>България.</w:t>
      </w:r>
    </w:p>
    <w:p w:rsidR="003A08D1" w:rsidRDefault="003A08D1" w:rsidP="00A655C9">
      <w:pPr>
        <w:jc w:val="both"/>
      </w:pPr>
    </w:p>
    <w:p w:rsidR="003A08D1" w:rsidRDefault="003A08D1" w:rsidP="00A655C9">
      <w:pPr>
        <w:jc w:val="both"/>
      </w:pPr>
      <w:r>
        <w:pict>
          <v:shape id="_x0000_i1036" type="#_x0000_t75" style="width:435.75pt;height:327pt">
            <v:imagedata r:id="rId23" o:title=""/>
          </v:shape>
        </w:pict>
      </w:r>
    </w:p>
    <w:p w:rsidR="003A08D1" w:rsidRPr="00E90C55" w:rsidRDefault="003A08D1" w:rsidP="00A655C9">
      <w:pPr>
        <w:ind w:firstLine="708"/>
        <w:jc w:val="both"/>
        <w:rPr>
          <w:lang w:val="ru-RU"/>
        </w:rPr>
      </w:pPr>
      <w:r w:rsidRPr="00E90C55">
        <w:t xml:space="preserve">При сравняване между държавите-членки се откриват много големи различия. Холандия и Дания се съревновават за първата позиция с около 40 линии на 100 души, следвани от Франция, Германия и Великобритания. В долния край на списъка, източноевропейските страни (Румъния, Полша, </w:t>
      </w:r>
      <w:r w:rsidRPr="0049050E">
        <w:rPr>
          <w:b/>
        </w:rPr>
        <w:t>България</w:t>
      </w:r>
      <w:r w:rsidRPr="00E90C55">
        <w:t xml:space="preserve"> и Словакия) са с проникване по-малко от </w:t>
      </w:r>
      <w:r w:rsidRPr="00E90C55">
        <w:rPr>
          <w:lang w:val="ru-RU"/>
        </w:rPr>
        <w:t xml:space="preserve">20%. </w:t>
      </w:r>
    </w:p>
    <w:p w:rsidR="003A08D1" w:rsidRPr="00E90C55" w:rsidRDefault="003A08D1" w:rsidP="00A655C9">
      <w:pPr>
        <w:ind w:firstLine="708"/>
        <w:jc w:val="both"/>
        <w:rPr>
          <w:lang w:val="ru-RU"/>
        </w:rPr>
      </w:pPr>
      <w:r w:rsidRPr="00E90C55">
        <w:t xml:space="preserve">Само в 3 държави-членки (Естония, Полша и Словения) повече от </w:t>
      </w:r>
      <w:r w:rsidRPr="00E90C55">
        <w:rPr>
          <w:lang w:val="ru-RU"/>
        </w:rPr>
        <w:t xml:space="preserve">10% </w:t>
      </w:r>
      <w:r w:rsidRPr="00E90C55">
        <w:t xml:space="preserve">от линиите са със скорост под </w:t>
      </w:r>
      <w:r w:rsidRPr="00E90C55">
        <w:rPr>
          <w:lang w:val="ru-RU"/>
        </w:rPr>
        <w:t>2</w:t>
      </w:r>
      <w:r>
        <w:rPr>
          <w:lang w:val="ru-RU"/>
        </w:rPr>
        <w:t xml:space="preserve"> </w:t>
      </w:r>
      <w:r w:rsidRPr="00E90C55">
        <w:t>Mbps</w:t>
      </w:r>
      <w:r w:rsidRPr="00E90C55">
        <w:rPr>
          <w:lang w:val="ru-RU"/>
        </w:rPr>
        <w:t xml:space="preserve">. В </w:t>
      </w:r>
      <w:r w:rsidRPr="0049050E">
        <w:rPr>
          <w:b/>
          <w:lang w:val="ru-RU"/>
        </w:rPr>
        <w:t xml:space="preserve">България </w:t>
      </w:r>
      <w:r w:rsidRPr="00E90C55">
        <w:rPr>
          <w:lang w:val="ru-RU"/>
        </w:rPr>
        <w:t xml:space="preserve">и Франция </w:t>
      </w:r>
      <w:r w:rsidRPr="00E90C55">
        <w:t>приблизително</w:t>
      </w:r>
      <w:r w:rsidRPr="00E90C55">
        <w:rPr>
          <w:lang w:val="ru-RU"/>
        </w:rPr>
        <w:t xml:space="preserve"> 90% </w:t>
      </w:r>
      <w:r w:rsidRPr="00E90C55">
        <w:t xml:space="preserve">от линиите са със скорост най-малко </w:t>
      </w:r>
      <w:r w:rsidRPr="00E90C55">
        <w:rPr>
          <w:lang w:val="ru-RU"/>
        </w:rPr>
        <w:t xml:space="preserve">10 </w:t>
      </w:r>
      <w:r w:rsidRPr="00E90C55">
        <w:t>Mbps</w:t>
      </w:r>
      <w:r w:rsidRPr="00E90C55">
        <w:rPr>
          <w:lang w:val="ru-RU"/>
        </w:rPr>
        <w:t>.</w:t>
      </w:r>
    </w:p>
    <w:p w:rsidR="003A08D1" w:rsidRPr="00E90C55" w:rsidRDefault="003A08D1" w:rsidP="00A655C9">
      <w:pPr>
        <w:ind w:firstLine="708"/>
        <w:jc w:val="both"/>
        <w:rPr>
          <w:lang w:val="ru-RU"/>
        </w:rPr>
      </w:pPr>
      <w:r w:rsidRPr="00E90C55">
        <w:rPr>
          <w:lang w:val="ru-RU"/>
        </w:rPr>
        <w:t xml:space="preserve">Най-напред в </w:t>
      </w:r>
      <w:r w:rsidRPr="00E90C55">
        <w:t>NGA е Белгия, където</w:t>
      </w:r>
      <w:r w:rsidRPr="00E90C55">
        <w:rPr>
          <w:lang w:val="ru-RU"/>
        </w:rPr>
        <w:t xml:space="preserve"> </w:t>
      </w:r>
      <w:r w:rsidRPr="00E90C55">
        <w:t>около</w:t>
      </w:r>
      <w:r w:rsidRPr="00E90C55">
        <w:rPr>
          <w:lang w:val="ru-RU"/>
        </w:rPr>
        <w:t xml:space="preserve"> 60% </w:t>
      </w:r>
      <w:r w:rsidRPr="00E90C55">
        <w:t>от фиксираните широколентови</w:t>
      </w:r>
      <w:r>
        <w:t xml:space="preserve"> линии са със скорост на пренос към потребителя</w:t>
      </w:r>
      <w:r w:rsidRPr="00E90C55">
        <w:t xml:space="preserve"> над </w:t>
      </w:r>
      <w:r w:rsidRPr="00E90C55">
        <w:rPr>
          <w:lang w:val="ru-RU"/>
        </w:rPr>
        <w:t xml:space="preserve">30 </w:t>
      </w:r>
      <w:r w:rsidRPr="00E90C55">
        <w:t>Mbps</w:t>
      </w:r>
      <w:r w:rsidRPr="00E90C55">
        <w:rPr>
          <w:lang w:val="ru-RU"/>
        </w:rPr>
        <w:t xml:space="preserve"> като резултат от жестоката конкуренция на платформи между кабела и </w:t>
      </w:r>
      <w:r w:rsidRPr="00E90C55">
        <w:t>VDSL</w:t>
      </w:r>
      <w:r>
        <w:rPr>
          <w:lang w:val="ru-RU"/>
        </w:rPr>
        <w:t>. Следват Р</w:t>
      </w:r>
      <w:r w:rsidRPr="00E90C55">
        <w:rPr>
          <w:lang w:val="ru-RU"/>
        </w:rPr>
        <w:t xml:space="preserve">умъния, Литва, Латвия, </w:t>
      </w:r>
      <w:r w:rsidRPr="0049050E">
        <w:rPr>
          <w:b/>
          <w:lang w:val="ru-RU"/>
        </w:rPr>
        <w:t>България</w:t>
      </w:r>
      <w:r w:rsidRPr="00E90C55">
        <w:rPr>
          <w:lang w:val="ru-RU"/>
        </w:rPr>
        <w:t xml:space="preserve"> и </w:t>
      </w:r>
      <w:r w:rsidRPr="00E90C55">
        <w:t xml:space="preserve">Холандия със стойности между </w:t>
      </w:r>
      <w:r w:rsidRPr="00E90C55">
        <w:rPr>
          <w:lang w:val="ru-RU"/>
        </w:rPr>
        <w:t xml:space="preserve">35-50%. В същото време под 5% </w:t>
      </w:r>
      <w:r w:rsidRPr="00E90C55">
        <w:t xml:space="preserve">от фиксираните широколентови линии са със скорости над </w:t>
      </w:r>
      <w:r w:rsidRPr="00E90C55">
        <w:rPr>
          <w:lang w:val="ru-RU"/>
        </w:rPr>
        <w:t xml:space="preserve">30 </w:t>
      </w:r>
      <w:r w:rsidRPr="00E90C55">
        <w:t>Mbps</w:t>
      </w:r>
      <w:r w:rsidRPr="00E90C55">
        <w:rPr>
          <w:lang w:val="ru-RU"/>
        </w:rPr>
        <w:t xml:space="preserve"> </w:t>
      </w:r>
      <w:r w:rsidRPr="00E90C55">
        <w:t xml:space="preserve">в Гърция, Италия, Кипър, Малта и Словения. </w:t>
      </w:r>
    </w:p>
    <w:p w:rsidR="003A08D1" w:rsidRDefault="003A08D1" w:rsidP="00A655C9">
      <w:pPr>
        <w:ind w:firstLine="708"/>
        <w:jc w:val="both"/>
        <w:rPr>
          <w:lang w:val="ru-RU"/>
        </w:rPr>
      </w:pPr>
      <w:r w:rsidRPr="00E90C55">
        <w:t>В 6 държави-членки</w:t>
      </w:r>
      <w:r w:rsidRPr="00E90C55">
        <w:rPr>
          <w:lang w:val="ru-RU"/>
        </w:rPr>
        <w:t xml:space="preserve"> (</w:t>
      </w:r>
      <w:r w:rsidRPr="0049050E">
        <w:rPr>
          <w:b/>
        </w:rPr>
        <w:t>България</w:t>
      </w:r>
      <w:r w:rsidRPr="00E90C55">
        <w:t>, Румъния, Латвия, Малта, Естония и Литва</w:t>
      </w:r>
      <w:r w:rsidRPr="00E90C55">
        <w:rPr>
          <w:lang w:val="ru-RU"/>
        </w:rPr>
        <w:t xml:space="preserve">), </w:t>
      </w:r>
      <w:r w:rsidRPr="00E90C55">
        <w:t>традиционните оператори контролират почти целия xDSL</w:t>
      </w:r>
      <w:r w:rsidRPr="00E90C55">
        <w:rPr>
          <w:lang w:val="ru-RU"/>
        </w:rPr>
        <w:t xml:space="preserve"> </w:t>
      </w:r>
      <w:r w:rsidRPr="00E90C55">
        <w:t>пазар</w:t>
      </w:r>
      <w:r w:rsidRPr="00E90C55">
        <w:rPr>
          <w:lang w:val="ru-RU"/>
        </w:rPr>
        <w:t xml:space="preserve">, </w:t>
      </w:r>
      <w:r w:rsidRPr="00E90C55">
        <w:t xml:space="preserve">но във всички тези страни има силни алтернативни платформи </w:t>
      </w:r>
      <w:r w:rsidRPr="00E90C55">
        <w:rPr>
          <w:lang w:val="ru-RU"/>
        </w:rPr>
        <w:t>(</w:t>
      </w:r>
      <w:r w:rsidRPr="00E90C55">
        <w:t>кабел и/или</w:t>
      </w:r>
      <w:r w:rsidRPr="00E90C55">
        <w:rPr>
          <w:lang w:val="ru-RU"/>
        </w:rPr>
        <w:t xml:space="preserve"> </w:t>
      </w:r>
      <w:r w:rsidRPr="00E90C55">
        <w:t>FTTH</w:t>
      </w:r>
      <w:r w:rsidRPr="00E90C55">
        <w:rPr>
          <w:lang w:val="ru-RU"/>
        </w:rPr>
        <w:t>/</w:t>
      </w:r>
      <w:r w:rsidRPr="00E90C55">
        <w:t>B</w:t>
      </w:r>
      <w:r w:rsidRPr="00E90C55">
        <w:rPr>
          <w:lang w:val="ru-RU"/>
        </w:rPr>
        <w:t>).</w:t>
      </w:r>
    </w:p>
    <w:p w:rsidR="003A08D1" w:rsidRDefault="003A08D1" w:rsidP="00A655C9">
      <w:pPr>
        <w:jc w:val="both"/>
        <w:rPr>
          <w:color w:val="000000"/>
          <w:lang w:val="ru-RU"/>
        </w:rPr>
      </w:pPr>
    </w:p>
    <w:p w:rsidR="003A08D1" w:rsidRPr="00D6758F" w:rsidRDefault="003A08D1" w:rsidP="00A655C9">
      <w:pPr>
        <w:jc w:val="both"/>
        <w:rPr>
          <w:color w:val="000000"/>
          <w:lang w:val="ru-RU"/>
        </w:rPr>
      </w:pPr>
      <w:r>
        <w:pict>
          <v:shape id="_x0000_i1037" type="#_x0000_t75" style="width:417.75pt;height:313.5pt">
            <v:imagedata r:id="rId24" o:title=""/>
          </v:shape>
        </w:pict>
      </w:r>
    </w:p>
    <w:p w:rsidR="003A08D1" w:rsidRPr="0036132F" w:rsidRDefault="003A08D1" w:rsidP="00A655C9">
      <w:pPr>
        <w:pStyle w:val="Default"/>
        <w:jc w:val="both"/>
        <w:rPr>
          <w:color w:val="auto"/>
        </w:rPr>
      </w:pPr>
    </w:p>
    <w:p w:rsidR="003A08D1" w:rsidRDefault="003A08D1" w:rsidP="00A655C9">
      <w:pPr>
        <w:pStyle w:val="Default"/>
        <w:jc w:val="both"/>
        <w:rPr>
          <w:color w:val="auto"/>
        </w:rPr>
      </w:pPr>
    </w:p>
    <w:p w:rsidR="003A08D1" w:rsidRPr="00515D09" w:rsidRDefault="003A08D1" w:rsidP="00A655C9">
      <w:pPr>
        <w:pStyle w:val="Default"/>
        <w:jc w:val="both"/>
        <w:rPr>
          <w:b/>
          <w:color w:val="auto"/>
        </w:rPr>
      </w:pPr>
      <w:r w:rsidRPr="00515D09">
        <w:rPr>
          <w:b/>
          <w:color w:val="auto"/>
        </w:rPr>
        <w:t>Изпо</w:t>
      </w:r>
      <w:r>
        <w:rPr>
          <w:b/>
          <w:color w:val="auto"/>
        </w:rPr>
        <w:t>лзване</w:t>
      </w:r>
      <w:r w:rsidRPr="00515D09">
        <w:rPr>
          <w:b/>
          <w:color w:val="auto"/>
        </w:rPr>
        <w:t xml:space="preserve"> на интернет и цифрови умения</w:t>
      </w:r>
    </w:p>
    <w:p w:rsidR="003A08D1" w:rsidRDefault="003A08D1" w:rsidP="00A655C9">
      <w:pPr>
        <w:pStyle w:val="Default"/>
        <w:jc w:val="both"/>
        <w:rPr>
          <w:b/>
          <w:color w:val="auto"/>
        </w:rPr>
      </w:pPr>
      <w:r w:rsidRPr="00515D09">
        <w:rPr>
          <w:b/>
          <w:color w:val="auto"/>
        </w:rPr>
        <w:t>Използване на Интернет</w:t>
      </w:r>
    </w:p>
    <w:p w:rsidR="003A08D1" w:rsidRPr="00DF0FD5" w:rsidRDefault="003A08D1" w:rsidP="00A655C9">
      <w:pPr>
        <w:pStyle w:val="Default"/>
        <w:jc w:val="both"/>
        <w:rPr>
          <w:color w:val="auto"/>
        </w:rPr>
      </w:pPr>
    </w:p>
    <w:p w:rsidR="003A08D1" w:rsidRPr="00DF0FD5" w:rsidRDefault="003A08D1" w:rsidP="00A655C9">
      <w:pPr>
        <w:pStyle w:val="Default"/>
        <w:ind w:firstLine="708"/>
        <w:jc w:val="both"/>
        <w:rPr>
          <w:color w:val="auto"/>
        </w:rPr>
      </w:pPr>
      <w:r w:rsidRPr="00E75363">
        <w:rPr>
          <w:b/>
          <w:color w:val="auto"/>
        </w:rPr>
        <w:t>България</w:t>
      </w:r>
      <w:r w:rsidRPr="00DF0FD5">
        <w:rPr>
          <w:color w:val="auto"/>
        </w:rPr>
        <w:t xml:space="preserve"> е в дъното на класацията по отношение на редовни и чести потребители на интернет, заедно с Гърция и Р</w:t>
      </w:r>
      <w:r>
        <w:rPr>
          <w:color w:val="auto"/>
        </w:rPr>
        <w:t xml:space="preserve">умъния. Само 50% от населението </w:t>
      </w:r>
      <w:r w:rsidRPr="00DF0FD5">
        <w:rPr>
          <w:color w:val="auto"/>
        </w:rPr>
        <w:t xml:space="preserve"> са редовн</w:t>
      </w:r>
      <w:r>
        <w:rPr>
          <w:color w:val="auto"/>
        </w:rPr>
        <w:t>и потребители, т.е. ползват</w:t>
      </w:r>
      <w:r w:rsidRPr="00DF0FD5">
        <w:rPr>
          <w:color w:val="auto"/>
        </w:rPr>
        <w:t xml:space="preserve"> интернет най-малко веднъж седмично, в сравнение с 46% през 2011 г</w:t>
      </w:r>
      <w:r>
        <w:rPr>
          <w:color w:val="auto"/>
        </w:rPr>
        <w:t xml:space="preserve">. - </w:t>
      </w:r>
      <w:r w:rsidRPr="00DF0FD5">
        <w:rPr>
          <w:color w:val="auto"/>
        </w:rPr>
        <w:t>доста под средното за ЕС от 70%. О</w:t>
      </w:r>
      <w:r>
        <w:rPr>
          <w:color w:val="auto"/>
        </w:rPr>
        <w:t>свен това, честите потребители на интернет (всеки ден ) с</w:t>
      </w:r>
      <w:r w:rsidRPr="00DF0FD5">
        <w:rPr>
          <w:color w:val="auto"/>
        </w:rPr>
        <w:t xml:space="preserve">а 40% от населението, в сравнение с 37% през 2011 г., но по-ниско от средното за ЕС от 59%. </w:t>
      </w:r>
      <w:r w:rsidRPr="00E75363">
        <w:rPr>
          <w:b/>
          <w:color w:val="auto"/>
        </w:rPr>
        <w:t>Българите</w:t>
      </w:r>
      <w:r w:rsidRPr="00DF0FD5">
        <w:rPr>
          <w:color w:val="auto"/>
        </w:rPr>
        <w:t>, които никога не са използвали интернет</w:t>
      </w:r>
      <w:r>
        <w:rPr>
          <w:color w:val="auto"/>
        </w:rPr>
        <w:t xml:space="preserve"> са</w:t>
      </w:r>
      <w:r w:rsidRPr="00DF0FD5">
        <w:rPr>
          <w:color w:val="auto"/>
        </w:rPr>
        <w:t xml:space="preserve"> 42% през 2012 г., което е спад от 46% през 2011 г., но е доста над средното ниво за ЕС от 22%. И накрая, по отношение на хората в неравностойно положение, скоростта на редовно използване на Интернет през 2012 г</w:t>
      </w:r>
      <w:r>
        <w:rPr>
          <w:color w:val="auto"/>
        </w:rPr>
        <w:t xml:space="preserve">. е 29%, 25 пункта </w:t>
      </w:r>
      <w:r w:rsidRPr="00DF0FD5">
        <w:rPr>
          <w:color w:val="auto"/>
        </w:rPr>
        <w:t xml:space="preserve"> под средното за ЕС от 54%.</w:t>
      </w:r>
    </w:p>
    <w:p w:rsidR="003A08D1" w:rsidRPr="00DF0FD5" w:rsidRDefault="003A08D1" w:rsidP="00A655C9">
      <w:pPr>
        <w:pStyle w:val="Default"/>
        <w:ind w:firstLine="708"/>
        <w:jc w:val="both"/>
        <w:rPr>
          <w:color w:val="auto"/>
        </w:rPr>
      </w:pPr>
      <w:r w:rsidRPr="00DF0FD5">
        <w:rPr>
          <w:color w:val="auto"/>
        </w:rPr>
        <w:t>Нови</w:t>
      </w:r>
      <w:r>
        <w:rPr>
          <w:color w:val="auto"/>
        </w:rPr>
        <w:t>те</w:t>
      </w:r>
      <w:r w:rsidRPr="00DF0FD5">
        <w:rPr>
          <w:color w:val="auto"/>
        </w:rPr>
        <w:t xml:space="preserve"> данни </w:t>
      </w:r>
      <w:r>
        <w:rPr>
          <w:color w:val="auto"/>
        </w:rPr>
        <w:t>за ползване на мобилен интернет</w:t>
      </w:r>
      <w:r w:rsidRPr="00DF0FD5">
        <w:rPr>
          <w:color w:val="auto"/>
        </w:rPr>
        <w:t xml:space="preserve"> показва</w:t>
      </w:r>
      <w:r>
        <w:rPr>
          <w:color w:val="auto"/>
        </w:rPr>
        <w:t xml:space="preserve">т, че </w:t>
      </w:r>
      <w:r w:rsidRPr="00E75363">
        <w:rPr>
          <w:b/>
          <w:color w:val="auto"/>
        </w:rPr>
        <w:t>България</w:t>
      </w:r>
      <w:r>
        <w:rPr>
          <w:color w:val="auto"/>
        </w:rPr>
        <w:t xml:space="preserve"> е</w:t>
      </w:r>
      <w:r w:rsidRPr="00DF0FD5">
        <w:rPr>
          <w:color w:val="auto"/>
        </w:rPr>
        <w:t xml:space="preserve"> на дъното, заедно с Румъния. Само 13% от хората в България</w:t>
      </w:r>
      <w:r>
        <w:rPr>
          <w:color w:val="auto"/>
        </w:rPr>
        <w:t xml:space="preserve"> имат</w:t>
      </w:r>
      <w:r w:rsidRPr="00DF0FD5">
        <w:rPr>
          <w:color w:val="auto"/>
        </w:rPr>
        <w:t xml:space="preserve"> достъп до интернет чрез мобилни устройства през 2012 г., доста под средното ниво за ЕС от 36%.</w:t>
      </w:r>
    </w:p>
    <w:p w:rsidR="003A08D1" w:rsidRPr="00DF0FD5" w:rsidRDefault="003A08D1" w:rsidP="004B3123">
      <w:pPr>
        <w:pStyle w:val="Default"/>
        <w:ind w:firstLine="720"/>
        <w:jc w:val="both"/>
        <w:rPr>
          <w:color w:val="auto"/>
        </w:rPr>
      </w:pPr>
      <w:r w:rsidRPr="00DF0FD5">
        <w:rPr>
          <w:color w:val="auto"/>
        </w:rPr>
        <w:t>Освен това, само</w:t>
      </w:r>
      <w:r>
        <w:rPr>
          <w:color w:val="auto"/>
        </w:rPr>
        <w:t xml:space="preserve"> 31% от предприятията са предоставили на  своите служители </w:t>
      </w:r>
      <w:r w:rsidRPr="00DF0FD5">
        <w:rPr>
          <w:color w:val="auto"/>
        </w:rPr>
        <w:t xml:space="preserve"> преносимо устройство за достъп до интернет през 2012 г., доста под средното за ЕС от 48%.</w:t>
      </w:r>
    </w:p>
    <w:p w:rsidR="003A08D1" w:rsidRPr="0036132F" w:rsidRDefault="003A08D1" w:rsidP="00A655C9">
      <w:pPr>
        <w:pStyle w:val="Default"/>
        <w:ind w:firstLine="708"/>
        <w:jc w:val="both"/>
        <w:rPr>
          <w:color w:val="auto"/>
        </w:rPr>
      </w:pPr>
      <w:r w:rsidRPr="00DF0FD5">
        <w:rPr>
          <w:color w:val="auto"/>
        </w:rPr>
        <w:t xml:space="preserve">Що се отнася до най-популярните дейности в </w:t>
      </w:r>
      <w:r w:rsidRPr="00E75363">
        <w:rPr>
          <w:b/>
          <w:color w:val="auto"/>
        </w:rPr>
        <w:t>България,</w:t>
      </w:r>
      <w:r w:rsidRPr="00DF0FD5">
        <w:rPr>
          <w:color w:val="auto"/>
        </w:rPr>
        <w:t xml:space="preserve"> между 35% и 40% от хората използват интернет, за да чет</w:t>
      </w:r>
      <w:r>
        <w:rPr>
          <w:color w:val="auto"/>
        </w:rPr>
        <w:t>ат онлайн вестници, за да намират</w:t>
      </w:r>
      <w:r w:rsidRPr="00DF0FD5">
        <w:rPr>
          <w:color w:val="auto"/>
        </w:rPr>
        <w:t xml:space="preserve"> информация за стоки и услуги и да </w:t>
      </w:r>
      <w:r>
        <w:rPr>
          <w:color w:val="auto"/>
        </w:rPr>
        <w:t>провеждат</w:t>
      </w:r>
      <w:r w:rsidRPr="00DF0FD5">
        <w:rPr>
          <w:color w:val="auto"/>
        </w:rPr>
        <w:t xml:space="preserve"> телефонни и видео разговори. От друга страна</w:t>
      </w:r>
      <w:r>
        <w:rPr>
          <w:color w:val="auto"/>
        </w:rPr>
        <w:t>,</w:t>
      </w:r>
      <w:r w:rsidRPr="00DF0FD5">
        <w:rPr>
          <w:color w:val="auto"/>
        </w:rPr>
        <w:t xml:space="preserve"> ок</w:t>
      </w:r>
      <w:r>
        <w:rPr>
          <w:color w:val="auto"/>
        </w:rPr>
        <w:t>оло     1 на 10 българи са изтеглили и изпратили официални формуляри по</w:t>
      </w:r>
      <w:r w:rsidRPr="00DF0FD5">
        <w:rPr>
          <w:color w:val="auto"/>
        </w:rPr>
        <w:t xml:space="preserve"> интернет. За разлик</w:t>
      </w:r>
      <w:r>
        <w:rPr>
          <w:color w:val="auto"/>
        </w:rPr>
        <w:t>а от други страни като Белгия, с 4%</w:t>
      </w:r>
      <w:r w:rsidRPr="00DF0FD5">
        <w:rPr>
          <w:color w:val="auto"/>
        </w:rPr>
        <w:t xml:space="preserve"> през 2012 г., интернет банкирането е най-</w:t>
      </w:r>
      <w:r>
        <w:rPr>
          <w:color w:val="auto"/>
        </w:rPr>
        <w:t xml:space="preserve">малко </w:t>
      </w:r>
      <w:r w:rsidRPr="00DF0FD5">
        <w:rPr>
          <w:color w:val="auto"/>
        </w:rPr>
        <w:t>популярна</w:t>
      </w:r>
      <w:r>
        <w:rPr>
          <w:color w:val="auto"/>
        </w:rPr>
        <w:t>та дейност в България,</w:t>
      </w:r>
      <w:r w:rsidRPr="00DF0FD5">
        <w:rPr>
          <w:color w:val="auto"/>
        </w:rPr>
        <w:t xml:space="preserve"> поради съображения за сигурност или</w:t>
      </w:r>
      <w:r>
        <w:rPr>
          <w:color w:val="auto"/>
        </w:rPr>
        <w:t xml:space="preserve"> поради </w:t>
      </w:r>
      <w:r w:rsidRPr="00DF0FD5">
        <w:rPr>
          <w:color w:val="auto"/>
        </w:rPr>
        <w:t xml:space="preserve"> липса на умения. </w:t>
      </w:r>
    </w:p>
    <w:p w:rsidR="003A08D1" w:rsidRPr="0036132F" w:rsidRDefault="003A08D1" w:rsidP="00A655C9">
      <w:pPr>
        <w:pStyle w:val="Default"/>
        <w:jc w:val="both"/>
        <w:rPr>
          <w:color w:val="auto"/>
        </w:rPr>
      </w:pPr>
    </w:p>
    <w:p w:rsidR="003A08D1" w:rsidRDefault="003A08D1" w:rsidP="00A655C9">
      <w:pPr>
        <w:pStyle w:val="Default"/>
        <w:jc w:val="both"/>
      </w:pPr>
      <w:r>
        <w:pict>
          <v:shape id="_x0000_i1038" type="#_x0000_t75" style="width:414pt;height:255.75pt">
            <v:imagedata r:id="rId25" o:title=""/>
          </v:shape>
        </w:pict>
      </w:r>
    </w:p>
    <w:p w:rsidR="003A08D1" w:rsidRDefault="003A08D1" w:rsidP="00A655C9">
      <w:pPr>
        <w:pStyle w:val="Default"/>
        <w:jc w:val="both"/>
      </w:pPr>
    </w:p>
    <w:p w:rsidR="003A08D1" w:rsidRDefault="003A08D1" w:rsidP="00A655C9">
      <w:pPr>
        <w:pStyle w:val="Default"/>
        <w:jc w:val="both"/>
      </w:pPr>
      <w:r w:rsidRPr="00F532F5">
        <w:rPr>
          <w:lang w:val="en-US"/>
        </w:rPr>
        <w:pict>
          <v:shape id="_x0000_i1039" type="#_x0000_t75" style="width:424.5pt;height:241.5pt">
            <v:imagedata r:id="rId26" o:title=""/>
          </v:shape>
        </w:pict>
      </w:r>
    </w:p>
    <w:p w:rsidR="003A08D1" w:rsidRDefault="003A08D1" w:rsidP="00A655C9">
      <w:pPr>
        <w:pStyle w:val="Default"/>
        <w:jc w:val="both"/>
      </w:pPr>
    </w:p>
    <w:p w:rsidR="003A08D1" w:rsidRPr="008B1602" w:rsidRDefault="003A08D1" w:rsidP="00A655C9">
      <w:pPr>
        <w:pStyle w:val="Default"/>
        <w:jc w:val="both"/>
        <w:rPr>
          <w:color w:val="auto"/>
        </w:rPr>
      </w:pPr>
      <w:r w:rsidRPr="00F532F5">
        <w:rPr>
          <w:lang w:val="en-US"/>
        </w:rPr>
        <w:pict>
          <v:shape id="_x0000_i1040" type="#_x0000_t75" style="width:369.75pt;height:267.75pt">
            <v:imagedata r:id="rId27" o:title=""/>
          </v:shape>
        </w:pict>
      </w:r>
    </w:p>
    <w:p w:rsidR="003A08D1" w:rsidRDefault="003A08D1" w:rsidP="00A655C9">
      <w:pPr>
        <w:pStyle w:val="Default"/>
        <w:jc w:val="both"/>
        <w:rPr>
          <w:color w:val="auto"/>
        </w:rPr>
      </w:pPr>
    </w:p>
    <w:p w:rsidR="003A08D1" w:rsidRDefault="003A08D1" w:rsidP="00A655C9">
      <w:pPr>
        <w:pStyle w:val="Default"/>
        <w:jc w:val="both"/>
        <w:rPr>
          <w:b/>
          <w:color w:val="auto"/>
        </w:rPr>
      </w:pPr>
      <w:r w:rsidRPr="00CD3CE2">
        <w:rPr>
          <w:b/>
          <w:color w:val="auto"/>
        </w:rPr>
        <w:t>Цифрова  компетентност / ИКТ умения</w:t>
      </w:r>
    </w:p>
    <w:p w:rsidR="003A08D1" w:rsidRPr="00CD3CE2" w:rsidRDefault="003A08D1" w:rsidP="00A655C9">
      <w:pPr>
        <w:pStyle w:val="Default"/>
        <w:jc w:val="both"/>
        <w:rPr>
          <w:b/>
          <w:color w:val="auto"/>
        </w:rPr>
      </w:pPr>
    </w:p>
    <w:p w:rsidR="003A08D1" w:rsidRPr="0021782E" w:rsidRDefault="003A08D1" w:rsidP="00A655C9">
      <w:pPr>
        <w:pStyle w:val="Default"/>
        <w:ind w:firstLine="708"/>
        <w:jc w:val="both"/>
        <w:rPr>
          <w:color w:val="auto"/>
        </w:rPr>
      </w:pPr>
      <w:r>
        <w:rPr>
          <w:color w:val="auto"/>
        </w:rPr>
        <w:t xml:space="preserve"> </w:t>
      </w:r>
      <w:r w:rsidRPr="0021782E">
        <w:rPr>
          <w:color w:val="auto"/>
        </w:rPr>
        <w:t xml:space="preserve">По отношение на оперативните компютърни умения, </w:t>
      </w:r>
      <w:r w:rsidRPr="00E75363">
        <w:rPr>
          <w:b/>
          <w:color w:val="auto"/>
        </w:rPr>
        <w:t xml:space="preserve">България </w:t>
      </w:r>
      <w:r w:rsidRPr="0021782E">
        <w:rPr>
          <w:color w:val="auto"/>
        </w:rPr>
        <w:t>е изпълнител</w:t>
      </w:r>
      <w:r>
        <w:rPr>
          <w:color w:val="auto"/>
        </w:rPr>
        <w:t xml:space="preserve"> на ниско ниво</w:t>
      </w:r>
      <w:r w:rsidRPr="0021782E">
        <w:rPr>
          <w:color w:val="auto"/>
        </w:rPr>
        <w:t xml:space="preserve"> в сравнение със средното за Е</w:t>
      </w:r>
      <w:r>
        <w:rPr>
          <w:color w:val="auto"/>
        </w:rPr>
        <w:t xml:space="preserve">С. Само 42% от </w:t>
      </w:r>
      <w:r w:rsidRPr="00E75363">
        <w:rPr>
          <w:b/>
          <w:color w:val="auto"/>
        </w:rPr>
        <w:t>българите</w:t>
      </w:r>
      <w:r w:rsidRPr="0021782E">
        <w:rPr>
          <w:color w:val="auto"/>
        </w:rPr>
        <w:t xml:space="preserve"> имат някакво ниво на компютърни умения. Отново този процент е доста под средното за ЕС от 67%. Нещо повече, в сравнение с водещите страни (Дания, Финландия и Люксембург) </w:t>
      </w:r>
      <w:r w:rsidRPr="00E75363">
        <w:rPr>
          <w:b/>
          <w:color w:val="auto"/>
        </w:rPr>
        <w:t>България</w:t>
      </w:r>
      <w:r w:rsidRPr="0021782E">
        <w:rPr>
          <w:color w:val="auto"/>
        </w:rPr>
        <w:t xml:space="preserve"> е доста под</w:t>
      </w:r>
      <w:r>
        <w:rPr>
          <w:color w:val="auto"/>
        </w:rPr>
        <w:t xml:space="preserve"> нивото им по отношение на високи цифрови</w:t>
      </w:r>
      <w:r w:rsidRPr="0021782E">
        <w:rPr>
          <w:color w:val="auto"/>
        </w:rPr>
        <w:t xml:space="preserve"> умения. Това не е изненада, имайки предвид, че компютър</w:t>
      </w:r>
      <w:r>
        <w:rPr>
          <w:color w:val="auto"/>
        </w:rPr>
        <w:t xml:space="preserve">ът </w:t>
      </w:r>
      <w:r w:rsidRPr="0021782E">
        <w:rPr>
          <w:color w:val="auto"/>
        </w:rPr>
        <w:t>и използване</w:t>
      </w:r>
      <w:r>
        <w:rPr>
          <w:color w:val="auto"/>
        </w:rPr>
        <w:t>то</w:t>
      </w:r>
      <w:r w:rsidRPr="0021782E">
        <w:rPr>
          <w:color w:val="auto"/>
        </w:rPr>
        <w:t xml:space="preserve"> на Интернет върви ръка за ръка с нива</w:t>
      </w:r>
      <w:r>
        <w:rPr>
          <w:color w:val="auto"/>
        </w:rPr>
        <w:t>та</w:t>
      </w:r>
      <w:r w:rsidRPr="0021782E">
        <w:rPr>
          <w:color w:val="auto"/>
        </w:rPr>
        <w:t xml:space="preserve"> на цифровата грамотност в дадена страна. Данните за 2012 г. показват, че 12% от всички хора в </w:t>
      </w:r>
      <w:r w:rsidRPr="00B634A0">
        <w:rPr>
          <w:b/>
          <w:color w:val="auto"/>
        </w:rPr>
        <w:t xml:space="preserve">България </w:t>
      </w:r>
      <w:r w:rsidRPr="0021782E">
        <w:rPr>
          <w:color w:val="auto"/>
        </w:rPr>
        <w:t xml:space="preserve">имат високи компютърни умения </w:t>
      </w:r>
      <w:r>
        <w:rPr>
          <w:color w:val="auto"/>
        </w:rPr>
        <w:t xml:space="preserve">в сравнение с 11% през 2011 г. което е </w:t>
      </w:r>
      <w:r w:rsidRPr="0021782E">
        <w:rPr>
          <w:color w:val="auto"/>
        </w:rPr>
        <w:t xml:space="preserve"> далеч под средното ниво за ЕС от 26%. Като цяло, в </w:t>
      </w:r>
      <w:r w:rsidRPr="00B634A0">
        <w:rPr>
          <w:b/>
          <w:color w:val="auto"/>
        </w:rPr>
        <w:t>България</w:t>
      </w:r>
      <w:r w:rsidRPr="0021782E">
        <w:rPr>
          <w:color w:val="auto"/>
        </w:rPr>
        <w:t xml:space="preserve"> повечето</w:t>
      </w:r>
      <w:r>
        <w:rPr>
          <w:color w:val="auto"/>
        </w:rPr>
        <w:t xml:space="preserve"> компютърни потребители </w:t>
      </w:r>
      <w:r w:rsidRPr="0021782E">
        <w:rPr>
          <w:color w:val="auto"/>
        </w:rPr>
        <w:t xml:space="preserve"> </w:t>
      </w:r>
      <w:r>
        <w:rPr>
          <w:color w:val="auto"/>
        </w:rPr>
        <w:t>нямат умения или имат</w:t>
      </w:r>
      <w:r w:rsidRPr="0021782E">
        <w:rPr>
          <w:color w:val="auto"/>
        </w:rPr>
        <w:t xml:space="preserve"> ниски</w:t>
      </w:r>
      <w:r>
        <w:rPr>
          <w:color w:val="auto"/>
        </w:rPr>
        <w:t xml:space="preserve">, </w:t>
      </w:r>
      <w:r w:rsidRPr="0021782E">
        <w:rPr>
          <w:color w:val="auto"/>
        </w:rPr>
        <w:t>или средни</w:t>
      </w:r>
      <w:r>
        <w:rPr>
          <w:color w:val="auto"/>
        </w:rPr>
        <w:t xml:space="preserve"> такива, като</w:t>
      </w:r>
      <w:r w:rsidRPr="0021782E">
        <w:rPr>
          <w:color w:val="auto"/>
        </w:rPr>
        <w:t xml:space="preserve"> 13% от тях имат ниски компютърни умения през 2012 година. Средната стойност за ЕС е </w:t>
      </w:r>
      <w:r>
        <w:rPr>
          <w:color w:val="auto"/>
        </w:rPr>
        <w:t>16%. В действителност, средно компютър</w:t>
      </w:r>
      <w:r w:rsidRPr="0021782E">
        <w:rPr>
          <w:color w:val="auto"/>
        </w:rPr>
        <w:t>н</w:t>
      </w:r>
      <w:r>
        <w:rPr>
          <w:color w:val="auto"/>
        </w:rPr>
        <w:t>о</w:t>
      </w:r>
      <w:r w:rsidRPr="0021782E">
        <w:rPr>
          <w:color w:val="auto"/>
        </w:rPr>
        <w:t xml:space="preserve"> квалифицирани</w:t>
      </w:r>
      <w:r>
        <w:rPr>
          <w:color w:val="auto"/>
        </w:rPr>
        <w:t xml:space="preserve">те </w:t>
      </w:r>
      <w:r w:rsidRPr="00B634A0">
        <w:rPr>
          <w:b/>
          <w:color w:val="auto"/>
        </w:rPr>
        <w:t>българи</w:t>
      </w:r>
      <w:r w:rsidRPr="0021782E">
        <w:rPr>
          <w:color w:val="auto"/>
        </w:rPr>
        <w:t xml:space="preserve"> представляват 17% от населението, 8 процентни пункта под средното за ЕС.</w:t>
      </w:r>
    </w:p>
    <w:p w:rsidR="003A08D1" w:rsidRPr="0036132F" w:rsidRDefault="003A08D1" w:rsidP="00A655C9">
      <w:pPr>
        <w:pStyle w:val="Default"/>
        <w:ind w:firstLine="708"/>
        <w:jc w:val="both"/>
        <w:rPr>
          <w:color w:val="auto"/>
        </w:rPr>
      </w:pPr>
      <w:r>
        <w:rPr>
          <w:color w:val="auto"/>
        </w:rPr>
        <w:t xml:space="preserve">В </w:t>
      </w:r>
      <w:r w:rsidRPr="00B634A0">
        <w:rPr>
          <w:b/>
          <w:color w:val="auto"/>
        </w:rPr>
        <w:t>България</w:t>
      </w:r>
      <w:r>
        <w:rPr>
          <w:color w:val="auto"/>
        </w:rPr>
        <w:t xml:space="preserve"> 10% от предприятията са наел</w:t>
      </w:r>
      <w:r w:rsidRPr="0021782E">
        <w:rPr>
          <w:color w:val="auto"/>
        </w:rPr>
        <w:t>и или са се опитали да наемат специалисти в областта на ИКТ през 2012 г., 2 процентни пункта над средното за ЕС. 34% от тях (3% от фирмите),</w:t>
      </w:r>
      <w:r>
        <w:rPr>
          <w:color w:val="auto"/>
        </w:rPr>
        <w:t xml:space="preserve"> съобщават за</w:t>
      </w:r>
      <w:r w:rsidRPr="0021782E">
        <w:rPr>
          <w:color w:val="auto"/>
        </w:rPr>
        <w:t xml:space="preserve"> затруднения при наемането на такива служители, което е под</w:t>
      </w:r>
      <w:r>
        <w:rPr>
          <w:color w:val="auto"/>
        </w:rPr>
        <w:t xml:space="preserve"> средното ниво за ЕС от 40%. </w:t>
      </w:r>
    </w:p>
    <w:p w:rsidR="003A08D1" w:rsidRPr="0036132F" w:rsidRDefault="003A08D1" w:rsidP="00A655C9">
      <w:pPr>
        <w:pStyle w:val="Default"/>
        <w:jc w:val="both"/>
        <w:rPr>
          <w:color w:val="auto"/>
        </w:rPr>
      </w:pPr>
    </w:p>
    <w:p w:rsidR="003A08D1" w:rsidRDefault="003A08D1" w:rsidP="00A655C9">
      <w:pPr>
        <w:pStyle w:val="Default"/>
        <w:jc w:val="both"/>
        <w:rPr>
          <w:color w:val="auto"/>
        </w:rPr>
      </w:pPr>
    </w:p>
    <w:p w:rsidR="003A08D1" w:rsidRDefault="003A08D1" w:rsidP="00A655C9">
      <w:pPr>
        <w:pStyle w:val="Default"/>
        <w:jc w:val="both"/>
        <w:rPr>
          <w:color w:val="auto"/>
        </w:rPr>
      </w:pPr>
    </w:p>
    <w:p w:rsidR="003A08D1" w:rsidRDefault="003A08D1" w:rsidP="00A655C9">
      <w:pPr>
        <w:pStyle w:val="Default"/>
        <w:jc w:val="both"/>
        <w:rPr>
          <w:color w:val="auto"/>
        </w:rPr>
      </w:pPr>
      <w:r>
        <w:pict>
          <v:shape id="_x0000_i1041" type="#_x0000_t75" style="width:6in;height:324pt">
            <v:imagedata r:id="rId28" o:title=""/>
          </v:shape>
        </w:pict>
      </w:r>
    </w:p>
    <w:p w:rsidR="003A08D1" w:rsidRPr="0036132F" w:rsidRDefault="003A08D1" w:rsidP="00A655C9">
      <w:pPr>
        <w:pStyle w:val="Default"/>
        <w:jc w:val="both"/>
        <w:rPr>
          <w:color w:val="auto"/>
        </w:rPr>
      </w:pPr>
    </w:p>
    <w:p w:rsidR="003A08D1" w:rsidRDefault="003A08D1" w:rsidP="00A655C9">
      <w:pPr>
        <w:jc w:val="both"/>
        <w:rPr>
          <w:b/>
          <w:bCs/>
          <w:sz w:val="19"/>
          <w:szCs w:val="19"/>
        </w:rPr>
      </w:pPr>
    </w:p>
    <w:p w:rsidR="003A08D1" w:rsidRDefault="003A08D1" w:rsidP="00A655C9">
      <w:pPr>
        <w:jc w:val="both"/>
      </w:pPr>
      <w:r>
        <w:pict>
          <v:shape id="_x0000_i1042" type="#_x0000_t75" style="width:7in;height:378pt">
            <v:imagedata r:id="rId29" o:title=""/>
          </v:shape>
        </w:pict>
      </w:r>
    </w:p>
    <w:p w:rsidR="003A08D1" w:rsidRDefault="003A08D1" w:rsidP="00A655C9">
      <w:pPr>
        <w:jc w:val="both"/>
      </w:pPr>
    </w:p>
    <w:p w:rsidR="003A08D1" w:rsidRDefault="003A08D1" w:rsidP="00A655C9">
      <w:pPr>
        <w:jc w:val="both"/>
      </w:pPr>
      <w:r>
        <w:pict>
          <v:shape id="_x0000_i1043" type="#_x0000_t75" style="width:468pt;height:351pt">
            <v:imagedata r:id="rId30" o:title=""/>
          </v:shape>
        </w:pict>
      </w:r>
    </w:p>
    <w:p w:rsidR="003A08D1" w:rsidRPr="00F0519D" w:rsidRDefault="003A08D1" w:rsidP="00A655C9">
      <w:pPr>
        <w:jc w:val="both"/>
        <w:rPr>
          <w:lang w:val="en-US"/>
        </w:rPr>
      </w:pPr>
    </w:p>
    <w:p w:rsidR="003A08D1" w:rsidRDefault="003A08D1" w:rsidP="00A655C9">
      <w:pPr>
        <w:jc w:val="both"/>
      </w:pPr>
    </w:p>
    <w:p w:rsidR="003A08D1" w:rsidRPr="0037541A" w:rsidRDefault="003A08D1" w:rsidP="00B634A0">
      <w:pPr>
        <w:ind w:firstLine="708"/>
        <w:jc w:val="both"/>
        <w:rPr>
          <w:sz w:val="23"/>
          <w:szCs w:val="23"/>
          <w:lang w:val="ru-RU"/>
        </w:rPr>
      </w:pPr>
      <w:r w:rsidRPr="0037541A">
        <w:rPr>
          <w:sz w:val="23"/>
          <w:szCs w:val="23"/>
          <w:lang w:val="ru-RU"/>
        </w:rPr>
        <w:t xml:space="preserve">В цяла Европа </w:t>
      </w:r>
      <w:r>
        <w:rPr>
          <w:sz w:val="23"/>
          <w:szCs w:val="23"/>
        </w:rPr>
        <w:t xml:space="preserve">степента </w:t>
      </w:r>
      <w:r w:rsidRPr="0037541A">
        <w:rPr>
          <w:sz w:val="23"/>
          <w:szCs w:val="23"/>
          <w:lang w:val="ru-RU"/>
        </w:rPr>
        <w:t xml:space="preserve"> на </w:t>
      </w:r>
      <w:r w:rsidRPr="0037541A">
        <w:rPr>
          <w:b/>
          <w:sz w:val="23"/>
          <w:szCs w:val="23"/>
          <w:lang w:val="ru-RU"/>
        </w:rPr>
        <w:t>редовното използване на интернет</w:t>
      </w:r>
      <w:r w:rsidRPr="0037541A">
        <w:rPr>
          <w:sz w:val="23"/>
          <w:szCs w:val="23"/>
          <w:lang w:val="ru-RU"/>
        </w:rPr>
        <w:t xml:space="preserve"> </w:t>
      </w:r>
      <w:r>
        <w:rPr>
          <w:sz w:val="23"/>
          <w:szCs w:val="23"/>
        </w:rPr>
        <w:t>е</w:t>
      </w:r>
      <w:r w:rsidRPr="0037541A">
        <w:rPr>
          <w:sz w:val="23"/>
          <w:szCs w:val="23"/>
          <w:lang w:val="ru-RU"/>
        </w:rPr>
        <w:t xml:space="preserve"> все още твърде раз</w:t>
      </w:r>
      <w:r>
        <w:rPr>
          <w:sz w:val="23"/>
          <w:szCs w:val="23"/>
        </w:rPr>
        <w:t>лична</w:t>
      </w:r>
      <w:r w:rsidRPr="0037541A">
        <w:rPr>
          <w:sz w:val="23"/>
          <w:szCs w:val="23"/>
          <w:lang w:val="ru-RU"/>
        </w:rPr>
        <w:t xml:space="preserve"> и  класацията на страните с най-високите и най-ниските </w:t>
      </w:r>
      <w:r>
        <w:rPr>
          <w:sz w:val="23"/>
          <w:szCs w:val="23"/>
        </w:rPr>
        <w:t xml:space="preserve">нива </w:t>
      </w:r>
      <w:r w:rsidRPr="0037541A">
        <w:rPr>
          <w:sz w:val="23"/>
          <w:szCs w:val="23"/>
          <w:lang w:val="ru-RU"/>
        </w:rPr>
        <w:t xml:space="preserve">са се променили много малко с течение на времето. Най-високите стойности на редовно използване на интернет </w:t>
      </w:r>
      <w:r>
        <w:rPr>
          <w:sz w:val="23"/>
          <w:szCs w:val="23"/>
        </w:rPr>
        <w:t xml:space="preserve">се намират </w:t>
      </w:r>
      <w:r w:rsidRPr="0037541A">
        <w:rPr>
          <w:sz w:val="23"/>
          <w:szCs w:val="23"/>
          <w:lang w:val="ru-RU"/>
        </w:rPr>
        <w:t xml:space="preserve">в северните страни (Исландия (95%), Норвегия (93%), Швеция (91%), Дания (89%) и Финландия (88%), както и в Холандия (91%) и Люксембург (90%), където показателите са достигнали насищане. </w:t>
      </w:r>
      <w:r>
        <w:rPr>
          <w:sz w:val="23"/>
          <w:szCs w:val="23"/>
        </w:rPr>
        <w:t>Н</w:t>
      </w:r>
      <w:r w:rsidRPr="0037541A">
        <w:rPr>
          <w:sz w:val="23"/>
          <w:szCs w:val="23"/>
          <w:lang w:val="ru-RU"/>
        </w:rPr>
        <w:t xml:space="preserve">а другия край на скалата, страните с най-ниски </w:t>
      </w:r>
      <w:r>
        <w:rPr>
          <w:sz w:val="23"/>
          <w:szCs w:val="23"/>
        </w:rPr>
        <w:t xml:space="preserve">нива </w:t>
      </w:r>
      <w:r w:rsidRPr="0037541A">
        <w:rPr>
          <w:sz w:val="23"/>
          <w:szCs w:val="23"/>
          <w:lang w:val="ru-RU"/>
        </w:rPr>
        <w:t xml:space="preserve">на редовното използване на интернет (Румъния (43%), </w:t>
      </w:r>
      <w:r w:rsidRPr="0037541A">
        <w:rPr>
          <w:b/>
          <w:sz w:val="23"/>
          <w:szCs w:val="23"/>
          <w:lang w:val="ru-RU"/>
        </w:rPr>
        <w:t>България</w:t>
      </w:r>
      <w:r>
        <w:rPr>
          <w:sz w:val="23"/>
          <w:szCs w:val="23"/>
          <w:lang w:val="ru-RU"/>
        </w:rPr>
        <w:t>,</w:t>
      </w:r>
      <w:r w:rsidRPr="0037541A">
        <w:rPr>
          <w:sz w:val="23"/>
          <w:szCs w:val="23"/>
          <w:lang w:val="ru-RU"/>
        </w:rPr>
        <w:t xml:space="preserve"> </w:t>
      </w:r>
      <w:r>
        <w:rPr>
          <w:sz w:val="23"/>
          <w:szCs w:val="23"/>
          <w:lang w:val="ru-RU"/>
        </w:rPr>
        <w:t xml:space="preserve">Гърция (50%) и Италия (53%) </w:t>
      </w:r>
      <w:r w:rsidRPr="0037541A">
        <w:rPr>
          <w:sz w:val="23"/>
          <w:szCs w:val="23"/>
          <w:lang w:val="ru-RU"/>
        </w:rPr>
        <w:t>около половината или повече от населението</w:t>
      </w:r>
      <w:r>
        <w:rPr>
          <w:sz w:val="23"/>
          <w:szCs w:val="23"/>
        </w:rPr>
        <w:t xml:space="preserve"> им</w:t>
      </w:r>
      <w:r w:rsidRPr="0037541A">
        <w:rPr>
          <w:sz w:val="23"/>
          <w:szCs w:val="23"/>
          <w:lang w:val="ru-RU"/>
        </w:rPr>
        <w:t xml:space="preserve"> не използват интернет редовно.</w:t>
      </w:r>
    </w:p>
    <w:p w:rsidR="003A08D1" w:rsidRPr="0037541A" w:rsidRDefault="003A08D1" w:rsidP="00B634A0">
      <w:pPr>
        <w:ind w:firstLine="708"/>
        <w:jc w:val="both"/>
        <w:rPr>
          <w:sz w:val="23"/>
          <w:szCs w:val="23"/>
          <w:lang w:val="ru-RU"/>
        </w:rPr>
      </w:pPr>
      <w:r w:rsidRPr="0084797E">
        <w:rPr>
          <w:b/>
          <w:sz w:val="23"/>
          <w:szCs w:val="23"/>
        </w:rPr>
        <w:t>Не</w:t>
      </w:r>
      <w:r w:rsidRPr="0037541A">
        <w:rPr>
          <w:b/>
          <w:sz w:val="23"/>
          <w:szCs w:val="23"/>
          <w:lang w:val="ru-RU"/>
        </w:rPr>
        <w:t>използването на интернет</w:t>
      </w:r>
      <w:r w:rsidRPr="0037541A">
        <w:rPr>
          <w:sz w:val="23"/>
          <w:szCs w:val="23"/>
          <w:lang w:val="ru-RU"/>
        </w:rPr>
        <w:t xml:space="preserve"> е основен проблем </w:t>
      </w:r>
      <w:r>
        <w:rPr>
          <w:sz w:val="23"/>
          <w:szCs w:val="23"/>
          <w:lang w:val="ru-RU"/>
        </w:rPr>
        <w:t>на политиката в Европа;</w:t>
      </w:r>
      <w:r w:rsidRPr="0037541A">
        <w:rPr>
          <w:sz w:val="23"/>
          <w:szCs w:val="23"/>
          <w:lang w:val="ru-RU"/>
        </w:rPr>
        <w:t xml:space="preserve"> основната мантра на </w:t>
      </w:r>
      <w:r>
        <w:rPr>
          <w:sz w:val="23"/>
          <w:szCs w:val="23"/>
        </w:rPr>
        <w:t>Ц</w:t>
      </w:r>
      <w:r w:rsidRPr="0037541A">
        <w:rPr>
          <w:sz w:val="23"/>
          <w:szCs w:val="23"/>
          <w:lang w:val="ru-RU"/>
        </w:rPr>
        <w:t>ифров</w:t>
      </w:r>
      <w:r>
        <w:rPr>
          <w:sz w:val="23"/>
          <w:szCs w:val="23"/>
        </w:rPr>
        <w:t>а</w:t>
      </w:r>
      <w:r w:rsidRPr="0037541A">
        <w:rPr>
          <w:sz w:val="23"/>
          <w:szCs w:val="23"/>
          <w:lang w:val="ru-RU"/>
        </w:rPr>
        <w:t xml:space="preserve"> </w:t>
      </w:r>
      <w:r>
        <w:rPr>
          <w:sz w:val="23"/>
          <w:szCs w:val="23"/>
        </w:rPr>
        <w:t xml:space="preserve">програма </w:t>
      </w:r>
      <w:r w:rsidRPr="0037541A">
        <w:rPr>
          <w:sz w:val="23"/>
          <w:szCs w:val="23"/>
          <w:lang w:val="ru-RU"/>
        </w:rPr>
        <w:t>за Европа е "Всеки европе</w:t>
      </w:r>
      <w:r>
        <w:rPr>
          <w:sz w:val="23"/>
          <w:szCs w:val="23"/>
        </w:rPr>
        <w:t>ец</w:t>
      </w:r>
      <w:r w:rsidRPr="0037541A">
        <w:rPr>
          <w:sz w:val="23"/>
          <w:szCs w:val="23"/>
          <w:lang w:val="ru-RU"/>
        </w:rPr>
        <w:t xml:space="preserve"> </w:t>
      </w:r>
      <w:r>
        <w:rPr>
          <w:sz w:val="23"/>
          <w:szCs w:val="23"/>
        </w:rPr>
        <w:t>цифровизиран</w:t>
      </w:r>
      <w:r w:rsidRPr="0037541A">
        <w:rPr>
          <w:sz w:val="23"/>
          <w:szCs w:val="23"/>
          <w:lang w:val="ru-RU"/>
        </w:rPr>
        <w:t xml:space="preserve">". Ето защо </w:t>
      </w:r>
      <w:r>
        <w:rPr>
          <w:sz w:val="23"/>
          <w:szCs w:val="23"/>
        </w:rPr>
        <w:t>за</w:t>
      </w:r>
      <w:r w:rsidRPr="0037541A">
        <w:rPr>
          <w:sz w:val="23"/>
          <w:szCs w:val="23"/>
          <w:lang w:val="ru-RU"/>
        </w:rPr>
        <w:t xml:space="preserve"> </w:t>
      </w:r>
      <w:r>
        <w:rPr>
          <w:sz w:val="23"/>
          <w:szCs w:val="23"/>
        </w:rPr>
        <w:t>Ц</w:t>
      </w:r>
      <w:r w:rsidRPr="0037541A">
        <w:rPr>
          <w:sz w:val="23"/>
          <w:szCs w:val="23"/>
          <w:lang w:val="ru-RU"/>
        </w:rPr>
        <w:t>ифров</w:t>
      </w:r>
      <w:r>
        <w:rPr>
          <w:sz w:val="23"/>
          <w:szCs w:val="23"/>
        </w:rPr>
        <w:t>ата</w:t>
      </w:r>
      <w:r w:rsidRPr="0037541A">
        <w:rPr>
          <w:sz w:val="23"/>
          <w:szCs w:val="23"/>
          <w:lang w:val="ru-RU"/>
        </w:rPr>
        <w:t xml:space="preserve"> </w:t>
      </w:r>
      <w:r>
        <w:rPr>
          <w:sz w:val="23"/>
          <w:szCs w:val="23"/>
        </w:rPr>
        <w:t xml:space="preserve">Програма </w:t>
      </w:r>
      <w:r w:rsidRPr="0037541A">
        <w:rPr>
          <w:sz w:val="23"/>
          <w:szCs w:val="23"/>
          <w:lang w:val="ru-RU"/>
        </w:rPr>
        <w:t>за Европа е ключова цел</w:t>
      </w:r>
      <w:r>
        <w:rPr>
          <w:sz w:val="23"/>
          <w:szCs w:val="23"/>
        </w:rPr>
        <w:t xml:space="preserve"> за </w:t>
      </w:r>
      <w:r w:rsidRPr="0037541A">
        <w:rPr>
          <w:sz w:val="23"/>
          <w:szCs w:val="23"/>
          <w:lang w:val="ru-RU"/>
        </w:rPr>
        <w:t xml:space="preserve"> изпълнение да</w:t>
      </w:r>
      <w:r>
        <w:rPr>
          <w:sz w:val="23"/>
          <w:szCs w:val="23"/>
        </w:rPr>
        <w:t xml:space="preserve"> се</w:t>
      </w:r>
      <w:r w:rsidRPr="0037541A">
        <w:rPr>
          <w:sz w:val="23"/>
          <w:szCs w:val="23"/>
          <w:lang w:val="ru-RU"/>
        </w:rPr>
        <w:t xml:space="preserve"> намали наполовина броя на не-потребители</w:t>
      </w:r>
      <w:r>
        <w:rPr>
          <w:sz w:val="23"/>
          <w:szCs w:val="23"/>
        </w:rPr>
        <w:t>те</w:t>
      </w:r>
      <w:r w:rsidRPr="0037541A">
        <w:rPr>
          <w:sz w:val="23"/>
          <w:szCs w:val="23"/>
          <w:lang w:val="ru-RU"/>
        </w:rPr>
        <w:t xml:space="preserve"> от 30% (през 2009 г.) до 15% до 2015 година. Докато процентът на </w:t>
      </w:r>
      <w:r w:rsidRPr="00FA7B28">
        <w:rPr>
          <w:sz w:val="23"/>
          <w:szCs w:val="23"/>
          <w:lang w:val="ru-RU"/>
        </w:rPr>
        <w:t>не-потребители</w:t>
      </w:r>
      <w:r w:rsidRPr="00FA7B28">
        <w:rPr>
          <w:sz w:val="23"/>
          <w:szCs w:val="23"/>
        </w:rPr>
        <w:t>те</w:t>
      </w:r>
      <w:r>
        <w:rPr>
          <w:sz w:val="23"/>
          <w:szCs w:val="23"/>
        </w:rPr>
        <w:t xml:space="preserve"> </w:t>
      </w:r>
      <w:r w:rsidRPr="0037541A">
        <w:rPr>
          <w:sz w:val="23"/>
          <w:szCs w:val="23"/>
          <w:lang w:val="ru-RU"/>
        </w:rPr>
        <w:t>продължи да пада през 2012 г. (с 2 процентни пункта през 2011 г.) като се доближават до тази цел, 22% от населението на ЕС все още никога не е използвало инте</w:t>
      </w:r>
      <w:r>
        <w:rPr>
          <w:sz w:val="23"/>
          <w:szCs w:val="23"/>
          <w:lang w:val="ru-RU"/>
        </w:rPr>
        <w:t xml:space="preserve">рнет. Освен това, в целия ЕС-27 </w:t>
      </w:r>
      <w:r w:rsidRPr="0037541A">
        <w:rPr>
          <w:sz w:val="23"/>
          <w:szCs w:val="23"/>
          <w:lang w:val="ru-RU"/>
        </w:rPr>
        <w:t xml:space="preserve">+, </w:t>
      </w:r>
      <w:r>
        <w:rPr>
          <w:sz w:val="23"/>
          <w:szCs w:val="23"/>
        </w:rPr>
        <w:t xml:space="preserve">нивата </w:t>
      </w:r>
      <w:r w:rsidRPr="0037541A">
        <w:rPr>
          <w:sz w:val="23"/>
          <w:szCs w:val="23"/>
          <w:lang w:val="ru-RU"/>
        </w:rPr>
        <w:t xml:space="preserve">за неупотреба варират значително, от под 5% </w:t>
      </w:r>
      <w:r>
        <w:rPr>
          <w:sz w:val="23"/>
          <w:szCs w:val="23"/>
        </w:rPr>
        <w:t>за</w:t>
      </w:r>
      <w:r w:rsidRPr="0037541A">
        <w:rPr>
          <w:sz w:val="23"/>
          <w:szCs w:val="23"/>
          <w:lang w:val="ru-RU"/>
        </w:rPr>
        <w:t xml:space="preserve"> най-добре работещите (Исландия, Норвегия и Швеция) до над 40% в </w:t>
      </w:r>
      <w:r w:rsidRPr="0037541A">
        <w:rPr>
          <w:b/>
          <w:sz w:val="23"/>
          <w:szCs w:val="23"/>
          <w:lang w:val="ru-RU"/>
        </w:rPr>
        <w:t>България</w:t>
      </w:r>
      <w:r w:rsidRPr="0037541A">
        <w:rPr>
          <w:sz w:val="23"/>
          <w:szCs w:val="23"/>
          <w:lang w:val="ru-RU"/>
        </w:rPr>
        <w:t>, Гърция и Румъния.</w:t>
      </w:r>
    </w:p>
    <w:p w:rsidR="003A08D1" w:rsidRPr="00BD6907" w:rsidRDefault="003A08D1" w:rsidP="00B634A0">
      <w:pPr>
        <w:ind w:firstLine="708"/>
        <w:jc w:val="both"/>
        <w:rPr>
          <w:sz w:val="23"/>
          <w:szCs w:val="23"/>
          <w:lang w:val="ru-RU"/>
        </w:rPr>
      </w:pPr>
      <w:r w:rsidRPr="0037541A">
        <w:rPr>
          <w:sz w:val="23"/>
          <w:szCs w:val="23"/>
          <w:lang w:val="ru-RU"/>
        </w:rPr>
        <w:t xml:space="preserve">Както   при използването на Интернет, обаче, добър напредък в намаляването на </w:t>
      </w:r>
      <w:r>
        <w:rPr>
          <w:sz w:val="23"/>
          <w:szCs w:val="23"/>
        </w:rPr>
        <w:t xml:space="preserve">нивата </w:t>
      </w:r>
      <w:r w:rsidRPr="0037541A">
        <w:rPr>
          <w:sz w:val="23"/>
          <w:szCs w:val="23"/>
          <w:lang w:val="ru-RU"/>
        </w:rPr>
        <w:t xml:space="preserve">на неизползване е </w:t>
      </w:r>
      <w:r>
        <w:rPr>
          <w:sz w:val="23"/>
          <w:szCs w:val="23"/>
        </w:rPr>
        <w:t xml:space="preserve">било направено </w:t>
      </w:r>
      <w:r w:rsidRPr="0037541A">
        <w:rPr>
          <w:sz w:val="23"/>
          <w:szCs w:val="23"/>
          <w:lang w:val="ru-RU"/>
        </w:rPr>
        <w:t>в рамките на миналата година от страните с най-</w:t>
      </w:r>
      <w:r>
        <w:rPr>
          <w:sz w:val="23"/>
          <w:szCs w:val="23"/>
        </w:rPr>
        <w:t>много</w:t>
      </w:r>
      <w:r w:rsidRPr="0037541A">
        <w:rPr>
          <w:sz w:val="23"/>
          <w:szCs w:val="23"/>
          <w:lang w:val="ru-RU"/>
        </w:rPr>
        <w:t xml:space="preserve"> </w:t>
      </w:r>
      <w:r>
        <w:rPr>
          <w:sz w:val="23"/>
          <w:szCs w:val="23"/>
        </w:rPr>
        <w:t>не</w:t>
      </w:r>
      <w:r w:rsidRPr="0037541A">
        <w:rPr>
          <w:sz w:val="23"/>
          <w:szCs w:val="23"/>
          <w:lang w:val="ru-RU"/>
        </w:rPr>
        <w:t>потребители: Португалия (-7 процен</w:t>
      </w:r>
      <w:r>
        <w:rPr>
          <w:sz w:val="23"/>
          <w:szCs w:val="23"/>
          <w:lang w:val="ru-RU"/>
        </w:rPr>
        <w:t>тни пункта, до 34%), Румъния (-</w:t>
      </w:r>
      <w:r w:rsidRPr="0037541A">
        <w:rPr>
          <w:sz w:val="23"/>
          <w:szCs w:val="23"/>
          <w:lang w:val="ru-RU"/>
        </w:rPr>
        <w:t xml:space="preserve">6 процентни пункта, до 48%), Кипър (-5 процентни пункта, до 36%), </w:t>
      </w:r>
      <w:r w:rsidRPr="0037541A">
        <w:rPr>
          <w:b/>
          <w:sz w:val="23"/>
          <w:szCs w:val="23"/>
          <w:lang w:val="ru-RU"/>
        </w:rPr>
        <w:t>България</w:t>
      </w:r>
      <w:r w:rsidRPr="0037541A">
        <w:rPr>
          <w:sz w:val="23"/>
          <w:szCs w:val="23"/>
          <w:lang w:val="ru-RU"/>
        </w:rPr>
        <w:t xml:space="preserve"> (-4 процентни пункта, до 42%)</w:t>
      </w:r>
      <w:r w:rsidRPr="00BD6907">
        <w:rPr>
          <w:sz w:val="23"/>
          <w:szCs w:val="23"/>
          <w:lang w:val="ru-RU"/>
        </w:rPr>
        <w:t>.</w:t>
      </w:r>
    </w:p>
    <w:p w:rsidR="003A08D1" w:rsidRDefault="003A08D1" w:rsidP="00B634A0">
      <w:pPr>
        <w:ind w:firstLine="708"/>
        <w:jc w:val="both"/>
      </w:pPr>
      <w:r>
        <w:t xml:space="preserve">В рамките на ЕС 27 + страни </w:t>
      </w:r>
      <w:r w:rsidRPr="0084797E">
        <w:rPr>
          <w:b/>
        </w:rPr>
        <w:t>трите основни фактора остават липса на интерес, липса на умения и разходите.</w:t>
      </w:r>
      <w:r>
        <w:t xml:space="preserve"> Въпреки това, има някои различия в значението на тези три причини. В повечето страни липсата на интерес е важен фактор.  Липсата на умения също е много важна в </w:t>
      </w:r>
      <w:r w:rsidRPr="0084797E">
        <w:rPr>
          <w:b/>
        </w:rPr>
        <w:t>България</w:t>
      </w:r>
      <w:r>
        <w:t xml:space="preserve">, Кипър, Естония, Гърция, Финландия, Унгария, Малта, Португалия, Словения и Словакия. Разходите са особено важни като причина в Белгия, </w:t>
      </w:r>
      <w:r w:rsidRPr="00651519">
        <w:rPr>
          <w:b/>
        </w:rPr>
        <w:t>България</w:t>
      </w:r>
      <w:r>
        <w:t>, Германия, Естония, Франция, Унгария, Португалия, Румъния и Словения.</w:t>
      </w:r>
    </w:p>
    <w:p w:rsidR="003A08D1" w:rsidRDefault="003A08D1" w:rsidP="00B634A0">
      <w:pPr>
        <w:ind w:firstLine="708"/>
        <w:jc w:val="both"/>
      </w:pPr>
      <w:r>
        <w:t xml:space="preserve">В рамките на ЕС 27 + страни нивата на умения  варират от 35% в Румъния до около 90% в Норвегия и Исландия. Освен това, тъй като степента на умения сред населението се увеличава, разпределението на уменията се  измества към по-високи нива. Това може да се види най-ясно, като например за високо квалифицирана страна като Люксембург и сравняване на разпространените умения на по-ниско квалифицирана страна като </w:t>
      </w:r>
      <w:r w:rsidRPr="00436D1E">
        <w:rPr>
          <w:b/>
        </w:rPr>
        <w:t>България</w:t>
      </w:r>
      <w:r>
        <w:t xml:space="preserve">. Данните за тези две страни показват, че докато двете страни имат сходни нива на нискоквалифицираните лица, Люксембург има около два пъти повече от средно квалифицирани и три пъти повече висококвалифицирани лица от  </w:t>
      </w:r>
      <w:r w:rsidRPr="00436D1E">
        <w:rPr>
          <w:b/>
        </w:rPr>
        <w:t>България</w:t>
      </w:r>
      <w:r>
        <w:t xml:space="preserve">. </w:t>
      </w:r>
    </w:p>
    <w:p w:rsidR="003A08D1" w:rsidRDefault="003A08D1" w:rsidP="00B634A0">
      <w:pPr>
        <w:ind w:firstLine="708"/>
        <w:jc w:val="both"/>
      </w:pPr>
      <w:r>
        <w:t xml:space="preserve"> Индексът на диверсификация  се основава на 12 дейности за които има налични данни за всяка година от 2009 г. насам. Индексът се изчислява за лица, които са използвали интернет през последните 3 месеца,  като брой на дейности, реализирани от избрани 12. Списъкът включва: изпращане/ получаване на електронна поща, сърфиране на информация за стоки и услуги, четене онлайн вестници/ новини, търсене на информация за услуги за пътуване /настаняване, пускане на съобщения в социалните медии, взаимодействие с държавни органи, интернет банкиране, телефонни  или видео разговори, продажба на стоки или услуги, покупка на съдържание (филми, музика, софтуер), покупка на стоки и услуги.</w:t>
      </w:r>
    </w:p>
    <w:p w:rsidR="003A08D1" w:rsidRPr="00652312" w:rsidRDefault="003A08D1" w:rsidP="00B634A0">
      <w:pPr>
        <w:ind w:firstLine="708"/>
        <w:jc w:val="both"/>
        <w:rPr>
          <w:sz w:val="23"/>
          <w:szCs w:val="23"/>
        </w:rPr>
      </w:pPr>
      <w:r>
        <w:rPr>
          <w:sz w:val="23"/>
          <w:szCs w:val="23"/>
        </w:rPr>
        <w:t xml:space="preserve">В страните </w:t>
      </w:r>
      <w:r w:rsidRPr="00652312">
        <w:rPr>
          <w:sz w:val="23"/>
          <w:szCs w:val="23"/>
        </w:rPr>
        <w:t xml:space="preserve"> на ЕС-27 + има малко разлики в развитието на диверсификацията на дейностите във време</w:t>
      </w:r>
      <w:r>
        <w:rPr>
          <w:sz w:val="23"/>
          <w:szCs w:val="23"/>
        </w:rPr>
        <w:t xml:space="preserve">то. В повечето страни  нарастването е </w:t>
      </w:r>
      <w:r w:rsidRPr="00652312">
        <w:rPr>
          <w:sz w:val="23"/>
          <w:szCs w:val="23"/>
        </w:rPr>
        <w:t xml:space="preserve"> с около 1,0 между 2009 и 2012. Изключения са Швеция, Словакия и </w:t>
      </w:r>
      <w:r w:rsidRPr="00880E5A">
        <w:rPr>
          <w:b/>
          <w:sz w:val="23"/>
          <w:szCs w:val="23"/>
        </w:rPr>
        <w:t>България</w:t>
      </w:r>
      <w:r>
        <w:rPr>
          <w:sz w:val="23"/>
          <w:szCs w:val="23"/>
        </w:rPr>
        <w:t xml:space="preserve"> (1,5), които са се придвижили </w:t>
      </w:r>
      <w:r w:rsidRPr="00652312">
        <w:rPr>
          <w:sz w:val="23"/>
          <w:szCs w:val="23"/>
        </w:rPr>
        <w:t>малко по-бързо и Финландия, Франция, Италия, Люксембург, Естония, Португалия, Испания, Литва, Австрия и Белг</w:t>
      </w:r>
      <w:r>
        <w:rPr>
          <w:sz w:val="23"/>
          <w:szCs w:val="23"/>
        </w:rPr>
        <w:t>ия (0,5), които са се придвижили</w:t>
      </w:r>
      <w:r w:rsidRPr="00652312">
        <w:rPr>
          <w:sz w:val="23"/>
          <w:szCs w:val="23"/>
        </w:rPr>
        <w:t xml:space="preserve"> по-бавно. </w:t>
      </w:r>
      <w:r>
        <w:rPr>
          <w:sz w:val="23"/>
          <w:szCs w:val="23"/>
        </w:rPr>
        <w:t>Може да се направи  преценка</w:t>
      </w:r>
      <w:r w:rsidRPr="00652312">
        <w:rPr>
          <w:sz w:val="23"/>
          <w:szCs w:val="23"/>
        </w:rPr>
        <w:t xml:space="preserve">, че докато водещите страни като Дания, Швеция, Норвегия и Исландия са около </w:t>
      </w:r>
      <w:r>
        <w:rPr>
          <w:sz w:val="23"/>
          <w:szCs w:val="23"/>
        </w:rPr>
        <w:t>четири и половина години по-напред от средното</w:t>
      </w:r>
      <w:r w:rsidRPr="00652312">
        <w:rPr>
          <w:sz w:val="23"/>
          <w:szCs w:val="23"/>
        </w:rPr>
        <w:t xml:space="preserve"> за ЕС, потребителите на интернет в страни като Румъния, </w:t>
      </w:r>
      <w:r w:rsidRPr="00880E5A">
        <w:rPr>
          <w:b/>
          <w:sz w:val="23"/>
          <w:szCs w:val="23"/>
        </w:rPr>
        <w:t>България,</w:t>
      </w:r>
      <w:r w:rsidRPr="00652312">
        <w:rPr>
          <w:sz w:val="23"/>
          <w:szCs w:val="23"/>
        </w:rPr>
        <w:t xml:space="preserve"> Италия, Гърция и Хърватия са четири и половина или повече години </w:t>
      </w:r>
      <w:r>
        <w:rPr>
          <w:sz w:val="23"/>
          <w:szCs w:val="23"/>
        </w:rPr>
        <w:t xml:space="preserve">по назад от средното относно диверсификацията </w:t>
      </w:r>
      <w:r w:rsidRPr="00652312">
        <w:rPr>
          <w:sz w:val="23"/>
          <w:szCs w:val="23"/>
        </w:rPr>
        <w:t xml:space="preserve"> на онлайн поведението си.</w:t>
      </w:r>
    </w:p>
    <w:p w:rsidR="003A08D1" w:rsidRDefault="003A08D1" w:rsidP="00B634A0">
      <w:pPr>
        <w:ind w:firstLine="708"/>
        <w:jc w:val="both"/>
        <w:rPr>
          <w:sz w:val="23"/>
          <w:szCs w:val="23"/>
        </w:rPr>
      </w:pPr>
      <w:r w:rsidRPr="00652312">
        <w:rPr>
          <w:sz w:val="23"/>
          <w:szCs w:val="23"/>
        </w:rPr>
        <w:t xml:space="preserve">В ЕС27 + използването на различни дейности </w:t>
      </w:r>
      <w:r>
        <w:rPr>
          <w:sz w:val="23"/>
          <w:szCs w:val="23"/>
        </w:rPr>
        <w:t xml:space="preserve">в </w:t>
      </w:r>
      <w:r w:rsidRPr="00652312">
        <w:rPr>
          <w:sz w:val="23"/>
          <w:szCs w:val="23"/>
        </w:rPr>
        <w:t xml:space="preserve">интернет от населението варира значително </w:t>
      </w:r>
      <w:r>
        <w:rPr>
          <w:sz w:val="23"/>
          <w:szCs w:val="23"/>
        </w:rPr>
        <w:t>по страни. Разглеждайки</w:t>
      </w:r>
      <w:r w:rsidRPr="00652312">
        <w:rPr>
          <w:sz w:val="23"/>
          <w:szCs w:val="23"/>
        </w:rPr>
        <w:t xml:space="preserve"> първо най-популярните дейности в цяла Европа, </w:t>
      </w:r>
      <w:r>
        <w:rPr>
          <w:sz w:val="23"/>
          <w:szCs w:val="23"/>
        </w:rPr>
        <w:t xml:space="preserve">се вижда, че </w:t>
      </w:r>
      <w:r w:rsidRPr="00652312">
        <w:rPr>
          <w:sz w:val="23"/>
          <w:szCs w:val="23"/>
        </w:rPr>
        <w:t>електронна</w:t>
      </w:r>
      <w:r>
        <w:rPr>
          <w:sz w:val="23"/>
          <w:szCs w:val="23"/>
        </w:rPr>
        <w:t>та</w:t>
      </w:r>
      <w:r w:rsidRPr="00652312">
        <w:rPr>
          <w:sz w:val="23"/>
          <w:szCs w:val="23"/>
        </w:rPr>
        <w:t xml:space="preserve"> поща се използва от над 80% от населението в Исландия, Холандия, Норвегия, Люксем</w:t>
      </w:r>
      <w:r>
        <w:rPr>
          <w:sz w:val="23"/>
          <w:szCs w:val="23"/>
        </w:rPr>
        <w:t>бург, Швеция, Дания и Финландия и</w:t>
      </w:r>
      <w:r w:rsidRPr="00652312">
        <w:rPr>
          <w:sz w:val="23"/>
          <w:szCs w:val="23"/>
        </w:rPr>
        <w:t xml:space="preserve"> се използва от по-малко от половината о</w:t>
      </w:r>
      <w:r>
        <w:rPr>
          <w:sz w:val="23"/>
          <w:szCs w:val="23"/>
        </w:rPr>
        <w:t>т населението в Румъния, Гърция</w:t>
      </w:r>
      <w:r w:rsidRPr="00652312">
        <w:rPr>
          <w:sz w:val="23"/>
          <w:szCs w:val="23"/>
        </w:rPr>
        <w:t xml:space="preserve">, </w:t>
      </w:r>
      <w:r w:rsidRPr="00F222D1">
        <w:rPr>
          <w:b/>
          <w:sz w:val="23"/>
          <w:szCs w:val="23"/>
        </w:rPr>
        <w:t>България,</w:t>
      </w:r>
      <w:r w:rsidRPr="00652312">
        <w:rPr>
          <w:sz w:val="23"/>
          <w:szCs w:val="23"/>
        </w:rPr>
        <w:t xml:space="preserve"> Кип</w:t>
      </w:r>
      <w:r>
        <w:rPr>
          <w:sz w:val="23"/>
          <w:szCs w:val="23"/>
        </w:rPr>
        <w:t xml:space="preserve">ър, Италия и Хърватия. Намиране </w:t>
      </w:r>
      <w:r w:rsidRPr="00652312">
        <w:rPr>
          <w:sz w:val="23"/>
          <w:szCs w:val="23"/>
        </w:rPr>
        <w:t xml:space="preserve"> на информация за стоки и услуги също е над 80% в Исландия, Норвегия, Люксембург, Швеция, Холандия, Дания и Финландия, докато тя е под 50% в Румъния, </w:t>
      </w:r>
      <w:r w:rsidRPr="00F222D1">
        <w:rPr>
          <w:b/>
          <w:sz w:val="23"/>
          <w:szCs w:val="23"/>
        </w:rPr>
        <w:t>България,</w:t>
      </w:r>
      <w:r w:rsidRPr="00652312">
        <w:rPr>
          <w:sz w:val="23"/>
          <w:szCs w:val="23"/>
        </w:rPr>
        <w:t xml:space="preserve"> Италия, Гърция и Полша.</w:t>
      </w:r>
    </w:p>
    <w:p w:rsidR="003A08D1" w:rsidRPr="0037541A" w:rsidRDefault="003A08D1" w:rsidP="00B634A0">
      <w:pPr>
        <w:ind w:firstLine="708"/>
        <w:jc w:val="both"/>
        <w:rPr>
          <w:sz w:val="23"/>
          <w:szCs w:val="23"/>
          <w:lang w:val="ru-RU"/>
        </w:rPr>
      </w:pPr>
      <w:r>
        <w:rPr>
          <w:sz w:val="23"/>
          <w:szCs w:val="23"/>
        </w:rPr>
        <w:t>Сред</w:t>
      </w:r>
      <w:r w:rsidRPr="0037541A">
        <w:rPr>
          <w:sz w:val="23"/>
          <w:szCs w:val="23"/>
          <w:lang w:val="ru-RU"/>
        </w:rPr>
        <w:t xml:space="preserve"> други сравнително популярни дейности, </w:t>
      </w:r>
      <w:r>
        <w:rPr>
          <w:sz w:val="23"/>
          <w:szCs w:val="23"/>
        </w:rPr>
        <w:t>и</w:t>
      </w:r>
      <w:r w:rsidRPr="0037541A">
        <w:rPr>
          <w:sz w:val="23"/>
          <w:szCs w:val="23"/>
          <w:lang w:val="ru-RU"/>
        </w:rPr>
        <w:t>нтернет банкиране се извър</w:t>
      </w:r>
      <w:r>
        <w:rPr>
          <w:sz w:val="23"/>
          <w:szCs w:val="23"/>
          <w:lang w:val="ru-RU"/>
        </w:rPr>
        <w:t>шва от около 80% от населението</w:t>
      </w:r>
      <w:r w:rsidRPr="0037541A">
        <w:rPr>
          <w:sz w:val="23"/>
          <w:szCs w:val="23"/>
          <w:lang w:val="ru-RU"/>
        </w:rPr>
        <w:t xml:space="preserve"> или</w:t>
      </w:r>
      <w:r>
        <w:rPr>
          <w:sz w:val="23"/>
          <w:szCs w:val="23"/>
        </w:rPr>
        <w:t xml:space="preserve">  </w:t>
      </w:r>
      <w:r w:rsidRPr="0037541A">
        <w:rPr>
          <w:sz w:val="23"/>
          <w:szCs w:val="23"/>
          <w:lang w:val="ru-RU"/>
        </w:rPr>
        <w:t xml:space="preserve">повече в Норвегия, Исландия, Финландия, Холандия, Дания и Швеция, </w:t>
      </w:r>
      <w:r>
        <w:rPr>
          <w:sz w:val="23"/>
          <w:szCs w:val="23"/>
        </w:rPr>
        <w:t xml:space="preserve"> </w:t>
      </w:r>
      <w:r w:rsidRPr="0037541A">
        <w:rPr>
          <w:sz w:val="23"/>
          <w:szCs w:val="23"/>
          <w:lang w:val="ru-RU"/>
        </w:rPr>
        <w:t xml:space="preserve">под 10% </w:t>
      </w:r>
      <w:r>
        <w:rPr>
          <w:sz w:val="23"/>
          <w:szCs w:val="23"/>
        </w:rPr>
        <w:t>е</w:t>
      </w:r>
      <w:r w:rsidRPr="0037541A">
        <w:rPr>
          <w:sz w:val="23"/>
          <w:szCs w:val="23"/>
          <w:lang w:val="ru-RU"/>
        </w:rPr>
        <w:t xml:space="preserve"> в Румъния, </w:t>
      </w:r>
      <w:r w:rsidRPr="0037541A">
        <w:rPr>
          <w:b/>
          <w:sz w:val="23"/>
          <w:szCs w:val="23"/>
          <w:lang w:val="ru-RU"/>
        </w:rPr>
        <w:t>България</w:t>
      </w:r>
      <w:r w:rsidRPr="0037541A">
        <w:rPr>
          <w:sz w:val="23"/>
          <w:szCs w:val="23"/>
          <w:lang w:val="ru-RU"/>
        </w:rPr>
        <w:t xml:space="preserve"> и Гърция; в Италия, Хърватия и Кипър </w:t>
      </w:r>
      <w:r>
        <w:rPr>
          <w:sz w:val="23"/>
          <w:szCs w:val="23"/>
        </w:rPr>
        <w:t xml:space="preserve">нивата </w:t>
      </w:r>
      <w:r w:rsidRPr="0037541A">
        <w:rPr>
          <w:sz w:val="23"/>
          <w:szCs w:val="23"/>
          <w:lang w:val="ru-RU"/>
        </w:rPr>
        <w:t xml:space="preserve">са малко над 20%. 80% от населението или </w:t>
      </w:r>
      <w:r>
        <w:rPr>
          <w:sz w:val="23"/>
          <w:szCs w:val="23"/>
        </w:rPr>
        <w:t xml:space="preserve">повече </w:t>
      </w:r>
      <w:r w:rsidRPr="0037541A">
        <w:rPr>
          <w:sz w:val="23"/>
          <w:szCs w:val="23"/>
          <w:lang w:val="ru-RU"/>
        </w:rPr>
        <w:t>в Исландия</w:t>
      </w:r>
      <w:r>
        <w:rPr>
          <w:sz w:val="23"/>
          <w:szCs w:val="23"/>
          <w:lang w:val="ru-RU"/>
        </w:rPr>
        <w:t xml:space="preserve">, Норвегия, Швеция и Финландия </w:t>
      </w:r>
      <w:r w:rsidRPr="0037541A">
        <w:rPr>
          <w:sz w:val="23"/>
          <w:szCs w:val="23"/>
          <w:lang w:val="ru-RU"/>
        </w:rPr>
        <w:t>четат онлайн новини</w:t>
      </w:r>
      <w:r>
        <w:rPr>
          <w:sz w:val="23"/>
          <w:szCs w:val="23"/>
        </w:rPr>
        <w:t xml:space="preserve"> и </w:t>
      </w:r>
      <w:r w:rsidRPr="0037541A">
        <w:rPr>
          <w:sz w:val="23"/>
          <w:szCs w:val="23"/>
          <w:lang w:val="ru-RU"/>
        </w:rPr>
        <w:t xml:space="preserve">само около една трета от населението в шест страни (Полша, Италия, Франция, Ирландия, Румъния и </w:t>
      </w:r>
      <w:r w:rsidRPr="0037541A">
        <w:rPr>
          <w:b/>
          <w:sz w:val="23"/>
          <w:szCs w:val="23"/>
          <w:lang w:val="ru-RU"/>
        </w:rPr>
        <w:t>България</w:t>
      </w:r>
      <w:r w:rsidRPr="0037541A">
        <w:rPr>
          <w:sz w:val="23"/>
          <w:szCs w:val="23"/>
          <w:lang w:val="ru-RU"/>
        </w:rPr>
        <w:t>). И</w:t>
      </w:r>
      <w:r>
        <w:rPr>
          <w:sz w:val="23"/>
          <w:szCs w:val="23"/>
          <w:lang w:val="ru-RU"/>
        </w:rPr>
        <w:t>зползването на социални медии и/</w:t>
      </w:r>
      <w:r w:rsidRPr="0037541A">
        <w:rPr>
          <w:sz w:val="23"/>
          <w:szCs w:val="23"/>
          <w:lang w:val="ru-RU"/>
        </w:rPr>
        <w:t>или мигновени съобщения е най-популярн</w:t>
      </w:r>
      <w:r>
        <w:rPr>
          <w:sz w:val="23"/>
          <w:szCs w:val="23"/>
        </w:rPr>
        <w:t>о</w:t>
      </w:r>
      <w:r w:rsidRPr="0037541A">
        <w:rPr>
          <w:sz w:val="23"/>
          <w:szCs w:val="23"/>
          <w:lang w:val="ru-RU"/>
        </w:rPr>
        <w:t xml:space="preserve"> в Исландия, Холандия, Норвегия, Обединеното кралство и Швеция, където т</w:t>
      </w:r>
      <w:r>
        <w:rPr>
          <w:sz w:val="23"/>
          <w:szCs w:val="23"/>
        </w:rPr>
        <w:t>о</w:t>
      </w:r>
      <w:r w:rsidRPr="0037541A">
        <w:rPr>
          <w:sz w:val="23"/>
          <w:szCs w:val="23"/>
          <w:lang w:val="ru-RU"/>
        </w:rPr>
        <w:t xml:space="preserve"> е над 50%, докато </w:t>
      </w:r>
      <w:r>
        <w:rPr>
          <w:sz w:val="23"/>
          <w:szCs w:val="23"/>
        </w:rPr>
        <w:t xml:space="preserve">е </w:t>
      </w:r>
      <w:r w:rsidRPr="0037541A">
        <w:rPr>
          <w:sz w:val="23"/>
          <w:szCs w:val="23"/>
          <w:lang w:val="ru-RU"/>
        </w:rPr>
        <w:t xml:space="preserve">под 30% в Румъния, Чехия, Италия и </w:t>
      </w:r>
      <w:r w:rsidRPr="0037541A">
        <w:rPr>
          <w:b/>
          <w:sz w:val="23"/>
          <w:szCs w:val="23"/>
          <w:lang w:val="ru-RU"/>
        </w:rPr>
        <w:t>България</w:t>
      </w:r>
      <w:r w:rsidRPr="0037541A">
        <w:rPr>
          <w:sz w:val="23"/>
          <w:szCs w:val="23"/>
          <w:lang w:val="ru-RU"/>
        </w:rPr>
        <w:t xml:space="preserve">. Използване на пътни и квартирни услуги е над 50% във Финландия, </w:t>
      </w:r>
      <w:r w:rsidRPr="00217EAE">
        <w:rPr>
          <w:sz w:val="23"/>
          <w:szCs w:val="23"/>
          <w:lang w:val="ru-RU"/>
        </w:rPr>
        <w:t>Люксембург, Норвегия</w:t>
      </w:r>
      <w:r w:rsidRPr="0037541A">
        <w:rPr>
          <w:sz w:val="23"/>
          <w:szCs w:val="23"/>
          <w:lang w:val="ru-RU"/>
        </w:rPr>
        <w:t xml:space="preserve">, Дания, Швеция, Исландия, Германия и Холандия, </w:t>
      </w:r>
      <w:r>
        <w:rPr>
          <w:sz w:val="23"/>
          <w:szCs w:val="23"/>
        </w:rPr>
        <w:t xml:space="preserve">като </w:t>
      </w:r>
      <w:r w:rsidRPr="0037541A">
        <w:rPr>
          <w:sz w:val="23"/>
          <w:szCs w:val="23"/>
          <w:lang w:val="ru-RU"/>
        </w:rPr>
        <w:t xml:space="preserve">това  е около 10% в </w:t>
      </w:r>
      <w:r w:rsidRPr="0037541A">
        <w:rPr>
          <w:b/>
          <w:sz w:val="23"/>
          <w:szCs w:val="23"/>
          <w:lang w:val="ru-RU"/>
        </w:rPr>
        <w:t>Българи</w:t>
      </w:r>
      <w:r w:rsidRPr="0037541A">
        <w:rPr>
          <w:sz w:val="23"/>
          <w:szCs w:val="23"/>
          <w:lang w:val="ru-RU"/>
        </w:rPr>
        <w:t>я, Румъния, Латвия и Полша.</w:t>
      </w:r>
    </w:p>
    <w:p w:rsidR="003A08D1" w:rsidRDefault="003A08D1" w:rsidP="00DC511F">
      <w:pPr>
        <w:ind w:firstLine="708"/>
        <w:jc w:val="both"/>
        <w:rPr>
          <w:sz w:val="23"/>
          <w:szCs w:val="23"/>
          <w:lang w:val="ru-RU"/>
        </w:rPr>
      </w:pPr>
      <w:r w:rsidRPr="0037541A">
        <w:rPr>
          <w:sz w:val="23"/>
          <w:szCs w:val="23"/>
          <w:lang w:val="ru-RU"/>
        </w:rPr>
        <w:t>От по-малко популярни</w:t>
      </w:r>
      <w:r>
        <w:rPr>
          <w:sz w:val="23"/>
          <w:szCs w:val="23"/>
        </w:rPr>
        <w:t>те</w:t>
      </w:r>
      <w:r w:rsidRPr="0037541A">
        <w:rPr>
          <w:sz w:val="23"/>
          <w:szCs w:val="23"/>
          <w:lang w:val="ru-RU"/>
        </w:rPr>
        <w:t xml:space="preserve"> дейности, качване</w:t>
      </w:r>
      <w:r>
        <w:rPr>
          <w:sz w:val="23"/>
          <w:szCs w:val="23"/>
        </w:rPr>
        <w:t xml:space="preserve"> (пренос към мрежата) на собствено</w:t>
      </w:r>
      <w:r w:rsidRPr="0037541A">
        <w:rPr>
          <w:sz w:val="23"/>
          <w:szCs w:val="23"/>
          <w:lang w:val="ru-RU"/>
        </w:rPr>
        <w:t xml:space="preserve"> създадено съдържание е най-популярн</w:t>
      </w:r>
      <w:r>
        <w:rPr>
          <w:sz w:val="23"/>
          <w:szCs w:val="23"/>
        </w:rPr>
        <w:t>о</w:t>
      </w:r>
      <w:r w:rsidRPr="0037541A">
        <w:rPr>
          <w:sz w:val="23"/>
          <w:szCs w:val="23"/>
          <w:lang w:val="ru-RU"/>
        </w:rPr>
        <w:t xml:space="preserve"> в Исландия, Холандия и Дания (над 40%)</w:t>
      </w:r>
      <w:r>
        <w:rPr>
          <w:sz w:val="23"/>
          <w:szCs w:val="23"/>
        </w:rPr>
        <w:t xml:space="preserve"> същото </w:t>
      </w:r>
      <w:r w:rsidRPr="0037541A">
        <w:rPr>
          <w:sz w:val="23"/>
          <w:szCs w:val="23"/>
          <w:lang w:val="ru-RU"/>
        </w:rPr>
        <w:t xml:space="preserve"> е на или под 20% в редица страни (Белгия, Италия, Гърция, </w:t>
      </w:r>
      <w:r w:rsidRPr="0037541A">
        <w:rPr>
          <w:b/>
          <w:sz w:val="23"/>
          <w:szCs w:val="23"/>
          <w:lang w:val="ru-RU"/>
        </w:rPr>
        <w:t>България,</w:t>
      </w:r>
      <w:r>
        <w:rPr>
          <w:sz w:val="23"/>
          <w:szCs w:val="23"/>
          <w:lang w:val="ru-RU"/>
        </w:rPr>
        <w:t xml:space="preserve"> Полша</w:t>
      </w:r>
      <w:r w:rsidRPr="0037541A">
        <w:rPr>
          <w:sz w:val="23"/>
          <w:szCs w:val="23"/>
          <w:lang w:val="ru-RU"/>
        </w:rPr>
        <w:t>, Румъния и Малта).</w:t>
      </w:r>
    </w:p>
    <w:p w:rsidR="003A08D1" w:rsidRPr="0037541A" w:rsidRDefault="003A08D1" w:rsidP="00DC511F">
      <w:pPr>
        <w:ind w:firstLine="708"/>
        <w:jc w:val="both"/>
        <w:rPr>
          <w:sz w:val="23"/>
          <w:szCs w:val="23"/>
          <w:lang w:val="ru-RU"/>
        </w:rPr>
      </w:pPr>
      <w:r w:rsidRPr="0037541A">
        <w:rPr>
          <w:sz w:val="23"/>
          <w:szCs w:val="23"/>
          <w:lang w:val="ru-RU"/>
        </w:rPr>
        <w:t xml:space="preserve">Използването на интернет за </w:t>
      </w:r>
      <w:r>
        <w:rPr>
          <w:sz w:val="23"/>
          <w:szCs w:val="23"/>
        </w:rPr>
        <w:t xml:space="preserve">телефонни </w:t>
      </w:r>
      <w:r w:rsidRPr="0037541A">
        <w:rPr>
          <w:sz w:val="23"/>
          <w:szCs w:val="23"/>
          <w:lang w:val="ru-RU"/>
        </w:rPr>
        <w:t xml:space="preserve"> и видео разговори е популярн</w:t>
      </w:r>
      <w:r>
        <w:rPr>
          <w:sz w:val="23"/>
          <w:szCs w:val="23"/>
        </w:rPr>
        <w:t>о в</w:t>
      </w:r>
      <w:r w:rsidRPr="0037541A">
        <w:rPr>
          <w:sz w:val="23"/>
          <w:szCs w:val="23"/>
          <w:lang w:val="ru-RU"/>
        </w:rPr>
        <w:t xml:space="preserve"> редица държави (Исландия, Литва, Словакия, Естония, Латвия, Дания, България и Чешката</w:t>
      </w:r>
      <w:r>
        <w:rPr>
          <w:sz w:val="23"/>
          <w:szCs w:val="23"/>
        </w:rPr>
        <w:t xml:space="preserve"> Република</w:t>
      </w:r>
      <w:r w:rsidRPr="0037541A">
        <w:rPr>
          <w:sz w:val="23"/>
          <w:szCs w:val="23"/>
          <w:lang w:val="ru-RU"/>
        </w:rPr>
        <w:t>), където 40% или повече лица участват в тези дейности.</w:t>
      </w:r>
    </w:p>
    <w:p w:rsidR="003A08D1" w:rsidRPr="00C629F6" w:rsidRDefault="003A08D1" w:rsidP="00DC511F">
      <w:pPr>
        <w:ind w:firstLine="708"/>
        <w:jc w:val="both"/>
        <w:rPr>
          <w:sz w:val="23"/>
          <w:szCs w:val="23"/>
        </w:rPr>
      </w:pPr>
      <w:r w:rsidRPr="0037541A">
        <w:rPr>
          <w:sz w:val="23"/>
          <w:szCs w:val="23"/>
          <w:lang w:val="ru-RU"/>
        </w:rPr>
        <w:t>На последно място, създаване на уеб сайтове или блогове е най-популярн</w:t>
      </w:r>
      <w:r>
        <w:rPr>
          <w:sz w:val="23"/>
          <w:szCs w:val="23"/>
        </w:rPr>
        <w:t>о</w:t>
      </w:r>
      <w:r w:rsidRPr="0037541A">
        <w:rPr>
          <w:sz w:val="23"/>
          <w:szCs w:val="23"/>
          <w:lang w:val="ru-RU"/>
        </w:rPr>
        <w:t xml:space="preserve"> в Холандия, Исландия, Унгария, Дания, Норвегия, Люксембург и Швеция (10-15%), но най-ниските </w:t>
      </w:r>
      <w:r>
        <w:rPr>
          <w:sz w:val="23"/>
          <w:szCs w:val="23"/>
        </w:rPr>
        <w:t xml:space="preserve">нива, </w:t>
      </w:r>
      <w:r w:rsidRPr="0037541A">
        <w:rPr>
          <w:sz w:val="23"/>
          <w:szCs w:val="23"/>
          <w:lang w:val="ru-RU"/>
        </w:rPr>
        <w:t>само около 2-4%</w:t>
      </w:r>
      <w:r>
        <w:rPr>
          <w:sz w:val="23"/>
          <w:szCs w:val="23"/>
        </w:rPr>
        <w:t xml:space="preserve"> са</w:t>
      </w:r>
      <w:r>
        <w:rPr>
          <w:sz w:val="23"/>
          <w:szCs w:val="23"/>
          <w:lang w:val="ru-RU"/>
        </w:rPr>
        <w:t xml:space="preserve"> в </w:t>
      </w:r>
      <w:r w:rsidRPr="0037541A">
        <w:rPr>
          <w:sz w:val="23"/>
          <w:szCs w:val="23"/>
          <w:lang w:val="ru-RU"/>
        </w:rPr>
        <w:t xml:space="preserve">Кипър, Италия, Полша, </w:t>
      </w:r>
      <w:r w:rsidRPr="0037541A">
        <w:rPr>
          <w:b/>
          <w:sz w:val="23"/>
          <w:szCs w:val="23"/>
          <w:lang w:val="ru-RU"/>
        </w:rPr>
        <w:t>България</w:t>
      </w:r>
      <w:r>
        <w:rPr>
          <w:sz w:val="23"/>
          <w:szCs w:val="23"/>
          <w:lang w:val="ru-RU"/>
        </w:rPr>
        <w:t>, Литва, Румъния и Ирландия</w:t>
      </w:r>
      <w:r w:rsidRPr="0037541A">
        <w:rPr>
          <w:sz w:val="23"/>
          <w:szCs w:val="23"/>
          <w:lang w:val="ru-RU"/>
        </w:rPr>
        <w:t>.</w:t>
      </w:r>
    </w:p>
    <w:p w:rsidR="003A08D1" w:rsidRDefault="003A08D1" w:rsidP="00A655C9">
      <w:pPr>
        <w:jc w:val="both"/>
        <w:rPr>
          <w:sz w:val="23"/>
          <w:szCs w:val="23"/>
        </w:rPr>
      </w:pPr>
    </w:p>
    <w:p w:rsidR="003A08D1" w:rsidRDefault="003A08D1" w:rsidP="00A655C9">
      <w:pPr>
        <w:jc w:val="both"/>
        <w:rPr>
          <w:sz w:val="23"/>
          <w:szCs w:val="23"/>
        </w:rPr>
      </w:pPr>
    </w:p>
    <w:p w:rsidR="003A08D1" w:rsidRDefault="003A08D1" w:rsidP="00A655C9">
      <w:pPr>
        <w:jc w:val="both"/>
        <w:rPr>
          <w:sz w:val="23"/>
          <w:szCs w:val="23"/>
        </w:rPr>
      </w:pPr>
      <w:r w:rsidRPr="00F532F5">
        <w:rPr>
          <w:sz w:val="23"/>
          <w:szCs w:val="23"/>
        </w:rPr>
        <w:pict>
          <v:shape id="_x0000_i1044" type="#_x0000_t75" style="width:448.5pt;height:337.5pt">
            <v:imagedata r:id="rId31" o:title=""/>
          </v:shape>
        </w:pict>
      </w:r>
    </w:p>
    <w:p w:rsidR="003A08D1" w:rsidRDefault="003A08D1" w:rsidP="00A655C9">
      <w:pPr>
        <w:jc w:val="both"/>
        <w:rPr>
          <w:sz w:val="23"/>
          <w:szCs w:val="23"/>
        </w:rPr>
      </w:pPr>
    </w:p>
    <w:p w:rsidR="003A08D1" w:rsidRDefault="003A08D1" w:rsidP="00A655C9">
      <w:pPr>
        <w:jc w:val="both"/>
        <w:rPr>
          <w:sz w:val="23"/>
          <w:szCs w:val="23"/>
          <w:lang w:val="en-US"/>
        </w:rPr>
      </w:pPr>
    </w:p>
    <w:p w:rsidR="003A08D1" w:rsidRDefault="003A08D1" w:rsidP="00A655C9">
      <w:pPr>
        <w:jc w:val="both"/>
        <w:rPr>
          <w:sz w:val="23"/>
          <w:szCs w:val="23"/>
          <w:highlight w:val="green"/>
        </w:rPr>
      </w:pPr>
      <w:r w:rsidRPr="00F532F5">
        <w:rPr>
          <w:sz w:val="23"/>
          <w:szCs w:val="23"/>
          <w:highlight w:val="green"/>
        </w:rPr>
        <w:pict>
          <v:shape id="_x0000_i1045" type="#_x0000_t75" style="width:449.25pt;height:335.25pt">
            <v:imagedata r:id="rId32" o:title=""/>
          </v:shape>
        </w:pict>
      </w:r>
    </w:p>
    <w:p w:rsidR="003A08D1" w:rsidRDefault="003A08D1" w:rsidP="00A655C9">
      <w:pPr>
        <w:jc w:val="both"/>
        <w:rPr>
          <w:sz w:val="23"/>
          <w:szCs w:val="23"/>
        </w:rPr>
      </w:pPr>
    </w:p>
    <w:p w:rsidR="003A08D1" w:rsidRDefault="003A08D1" w:rsidP="00A655C9">
      <w:pPr>
        <w:jc w:val="both"/>
        <w:rPr>
          <w:sz w:val="23"/>
          <w:szCs w:val="23"/>
        </w:rPr>
      </w:pPr>
    </w:p>
    <w:p w:rsidR="003A08D1" w:rsidRPr="0036132F" w:rsidRDefault="003A08D1" w:rsidP="00A655C9">
      <w:pPr>
        <w:pStyle w:val="Default"/>
        <w:jc w:val="both"/>
        <w:rPr>
          <w:color w:val="auto"/>
        </w:rPr>
      </w:pPr>
      <w:r w:rsidRPr="00F532F5">
        <w:rPr>
          <w:sz w:val="23"/>
          <w:szCs w:val="23"/>
        </w:rPr>
        <w:pict>
          <v:shape id="_x0000_i1046" type="#_x0000_t75" style="width:475.5pt;height:275.25pt">
            <v:imagedata r:id="rId33" o:title=""/>
          </v:shape>
        </w:pict>
      </w:r>
    </w:p>
    <w:p w:rsidR="003A08D1" w:rsidRDefault="003A08D1" w:rsidP="00A655C9">
      <w:pPr>
        <w:pStyle w:val="Default"/>
        <w:jc w:val="both"/>
        <w:rPr>
          <w:b/>
          <w:bCs/>
          <w:i/>
          <w:iCs/>
          <w:color w:val="auto"/>
        </w:rPr>
      </w:pPr>
    </w:p>
    <w:p w:rsidR="003A08D1" w:rsidRPr="00D54DAF" w:rsidRDefault="003A08D1" w:rsidP="00A655C9">
      <w:pPr>
        <w:pStyle w:val="Default"/>
        <w:jc w:val="both"/>
        <w:rPr>
          <w:b/>
          <w:color w:val="auto"/>
        </w:rPr>
      </w:pPr>
      <w:r w:rsidRPr="00D54DAF">
        <w:rPr>
          <w:b/>
          <w:color w:val="auto"/>
        </w:rPr>
        <w:t>Е-търговия</w:t>
      </w:r>
    </w:p>
    <w:p w:rsidR="003A08D1" w:rsidRPr="00AC4C4E" w:rsidRDefault="003A08D1" w:rsidP="00A655C9">
      <w:pPr>
        <w:pStyle w:val="Default"/>
        <w:ind w:firstLine="708"/>
        <w:jc w:val="both"/>
        <w:rPr>
          <w:color w:val="auto"/>
        </w:rPr>
      </w:pPr>
      <w:r>
        <w:rPr>
          <w:color w:val="auto"/>
        </w:rPr>
        <w:t>9% от българите са закупили</w:t>
      </w:r>
      <w:r w:rsidRPr="00AC4C4E">
        <w:rPr>
          <w:color w:val="auto"/>
        </w:rPr>
        <w:t xml:space="preserve"> стоки или услуги онлайн в рамките на последните 12 месеца през 2012 г., </w:t>
      </w:r>
      <w:r>
        <w:rPr>
          <w:color w:val="auto"/>
        </w:rPr>
        <w:t>което означава, че потреблението</w:t>
      </w:r>
      <w:r w:rsidRPr="00AC4C4E">
        <w:rPr>
          <w:color w:val="auto"/>
        </w:rPr>
        <w:t xml:space="preserve"> на електронната търговия е под средното ниво за ЕС от 45% и се е увеличил</w:t>
      </w:r>
      <w:r>
        <w:rPr>
          <w:color w:val="auto"/>
        </w:rPr>
        <w:t>о</w:t>
      </w:r>
      <w:r w:rsidRPr="00AC4C4E">
        <w:rPr>
          <w:color w:val="auto"/>
        </w:rPr>
        <w:t xml:space="preserve"> бавно (2 процентни пункта от 2011 г. насам). Българ</w:t>
      </w:r>
      <w:r>
        <w:rPr>
          <w:color w:val="auto"/>
        </w:rPr>
        <w:t xml:space="preserve">ия проявява още по-ниски нива </w:t>
      </w:r>
      <w:r w:rsidRPr="00AC4C4E">
        <w:rPr>
          <w:color w:val="auto"/>
        </w:rPr>
        <w:t>на трансграничната електронна тъ</w:t>
      </w:r>
      <w:r>
        <w:rPr>
          <w:color w:val="auto"/>
        </w:rPr>
        <w:t xml:space="preserve">рговия, като 4% от населението са </w:t>
      </w:r>
      <w:r w:rsidRPr="00AC4C4E">
        <w:rPr>
          <w:color w:val="auto"/>
        </w:rPr>
        <w:t>куп</w:t>
      </w:r>
      <w:r>
        <w:rPr>
          <w:color w:val="auto"/>
        </w:rPr>
        <w:t>ували</w:t>
      </w:r>
      <w:r w:rsidRPr="00AC4C4E">
        <w:rPr>
          <w:color w:val="auto"/>
        </w:rPr>
        <w:t xml:space="preserve"> он</w:t>
      </w:r>
      <w:r>
        <w:rPr>
          <w:color w:val="auto"/>
        </w:rPr>
        <w:t xml:space="preserve">лайн от други страни от ЕС и 7% </w:t>
      </w:r>
      <w:r w:rsidRPr="00AC4C4E">
        <w:rPr>
          <w:color w:val="auto"/>
        </w:rPr>
        <w:t xml:space="preserve"> </w:t>
      </w:r>
      <w:r>
        <w:rPr>
          <w:color w:val="auto"/>
        </w:rPr>
        <w:t>са закупили</w:t>
      </w:r>
      <w:r w:rsidRPr="00AC4C4E">
        <w:rPr>
          <w:color w:val="auto"/>
        </w:rPr>
        <w:t xml:space="preserve"> онлайн от национални търговци. Тези стойности са много по-ни</w:t>
      </w:r>
      <w:r>
        <w:rPr>
          <w:color w:val="auto"/>
        </w:rPr>
        <w:t>ски от наблюдаваните средно</w:t>
      </w:r>
      <w:r w:rsidRPr="00AC4C4E">
        <w:rPr>
          <w:color w:val="auto"/>
        </w:rPr>
        <w:t xml:space="preserve"> в Европа, т.е. 11% и 41% съответно. Липса</w:t>
      </w:r>
      <w:r>
        <w:rPr>
          <w:color w:val="auto"/>
        </w:rPr>
        <w:t xml:space="preserve"> на доверие, инфраструктура и култура за </w:t>
      </w:r>
      <w:r w:rsidRPr="00AC4C4E">
        <w:rPr>
          <w:color w:val="auto"/>
        </w:rPr>
        <w:t xml:space="preserve">електронна търговия са само някои от причините, поради които гражданите в </w:t>
      </w:r>
      <w:r w:rsidRPr="00B439CA">
        <w:rPr>
          <w:b/>
          <w:color w:val="auto"/>
        </w:rPr>
        <w:t>България</w:t>
      </w:r>
      <w:r>
        <w:rPr>
          <w:color w:val="auto"/>
        </w:rPr>
        <w:t xml:space="preserve"> не се занимават толкова много с </w:t>
      </w:r>
      <w:r w:rsidRPr="00AC4C4E">
        <w:rPr>
          <w:color w:val="auto"/>
        </w:rPr>
        <w:t>онлайн пазаруването.</w:t>
      </w:r>
    </w:p>
    <w:p w:rsidR="003A08D1" w:rsidRPr="0036132F" w:rsidRDefault="003A08D1" w:rsidP="00A655C9">
      <w:pPr>
        <w:pStyle w:val="Default"/>
        <w:ind w:firstLine="708"/>
        <w:jc w:val="both"/>
        <w:rPr>
          <w:color w:val="auto"/>
        </w:rPr>
      </w:pPr>
      <w:r w:rsidRPr="00AC4C4E">
        <w:rPr>
          <w:color w:val="auto"/>
        </w:rPr>
        <w:t>През 2012 г. в България има най-нисък процент на предприятията, ангажирани в електронната търговия (4%), спрямо средното за ЕС от 14%. Същото важи и за малкит</w:t>
      </w:r>
      <w:r>
        <w:rPr>
          <w:color w:val="auto"/>
        </w:rPr>
        <w:t>е и средни предприятия: само 4% са</w:t>
      </w:r>
      <w:r w:rsidRPr="00AC4C4E">
        <w:rPr>
          <w:color w:val="auto"/>
        </w:rPr>
        <w:t xml:space="preserve"> ангажирани в електронната търговия през 2012 г., докато средната стойност за ЕС е 13</w:t>
      </w:r>
      <w:r>
        <w:rPr>
          <w:color w:val="auto"/>
        </w:rPr>
        <w:t>%. 4% от българските компании са купували</w:t>
      </w:r>
      <w:r w:rsidRPr="00AC4C4E">
        <w:rPr>
          <w:color w:val="auto"/>
        </w:rPr>
        <w:t xml:space="preserve"> онлайн през 2012 г</w:t>
      </w:r>
      <w:r>
        <w:rPr>
          <w:color w:val="auto"/>
        </w:rPr>
        <w:t>. (спад 2 пункта п</w:t>
      </w:r>
      <w:r w:rsidRPr="00AC4C4E">
        <w:rPr>
          <w:color w:val="auto"/>
        </w:rPr>
        <w:t>рез 2011 г.), докато средното за ЕС е 16%. Данните за обо</w:t>
      </w:r>
      <w:r>
        <w:rPr>
          <w:color w:val="auto"/>
        </w:rPr>
        <w:t>рота на предприятията постигнат</w:t>
      </w:r>
      <w:r w:rsidRPr="00AC4C4E">
        <w:rPr>
          <w:color w:val="auto"/>
        </w:rPr>
        <w:t xml:space="preserve"> чрез електронна търговия през 2012 г. е 3%, доста под средното за ЕС (15% през 2012 г.).</w:t>
      </w:r>
    </w:p>
    <w:p w:rsidR="003A08D1" w:rsidRPr="0036132F" w:rsidRDefault="003A08D1" w:rsidP="00A655C9">
      <w:pPr>
        <w:pStyle w:val="Default"/>
        <w:jc w:val="both"/>
        <w:rPr>
          <w:color w:val="auto"/>
        </w:rPr>
      </w:pPr>
    </w:p>
    <w:p w:rsidR="003A08D1" w:rsidRDefault="003A08D1" w:rsidP="00A655C9">
      <w:pPr>
        <w:pStyle w:val="Default"/>
        <w:jc w:val="both"/>
        <w:rPr>
          <w:color w:val="auto"/>
        </w:rPr>
      </w:pPr>
    </w:p>
    <w:p w:rsidR="003A08D1" w:rsidRPr="0036132F" w:rsidRDefault="003A08D1" w:rsidP="00A655C9">
      <w:pPr>
        <w:pStyle w:val="Default"/>
        <w:jc w:val="both"/>
        <w:rPr>
          <w:color w:val="auto"/>
        </w:rPr>
      </w:pPr>
      <w:r w:rsidRPr="00F532F5">
        <w:rPr>
          <w:lang w:val="en-US"/>
        </w:rPr>
        <w:pict>
          <v:shape id="_x0000_i1047" type="#_x0000_t75" style="width:320.25pt;height:214.5pt">
            <v:imagedata r:id="rId34" o:title=""/>
          </v:shape>
        </w:pict>
      </w:r>
    </w:p>
    <w:p w:rsidR="003A08D1" w:rsidRDefault="003A08D1" w:rsidP="00A655C9">
      <w:pPr>
        <w:jc w:val="both"/>
        <w:rPr>
          <w:b/>
          <w:bCs/>
          <w:i/>
          <w:iCs/>
          <w:sz w:val="23"/>
          <w:szCs w:val="23"/>
        </w:rPr>
      </w:pPr>
    </w:p>
    <w:p w:rsidR="003A08D1" w:rsidRPr="00FB3D2F" w:rsidRDefault="003A08D1" w:rsidP="00DC511F">
      <w:pPr>
        <w:pStyle w:val="Default"/>
        <w:ind w:firstLine="708"/>
        <w:jc w:val="both"/>
      </w:pPr>
      <w:r w:rsidRPr="00FB3D2F">
        <w:t xml:space="preserve">По отношение на </w:t>
      </w:r>
      <w:r w:rsidRPr="00FB3D2F">
        <w:rPr>
          <w:b/>
        </w:rPr>
        <w:t>електронната търговия от предприятията</w:t>
      </w:r>
      <w:r w:rsidRPr="00FB3D2F">
        <w:t>, електронната търговия от страна на МСП се развива бавно и достига 15% през 2011 г. (по последни данни). Повечето се извършва от уеб-продажби (12%), а 6% се извършва с EDI (електронен обмен на данни или XML формати); 3% използват и двете. Електронната търговия от страна на големите предприятия е по-развита и EDI (26%) е малко по-разпространено от уеб-продажби (23%). Оборотът на МСП от уеб-продажбите е обикновено по-малко, отколкото от продажби извън мрежата. Само за</w:t>
      </w:r>
      <w:r>
        <w:t xml:space="preserve"> </w:t>
      </w:r>
      <w:r w:rsidRPr="00FB3D2F">
        <w:t>1,5% от малките и средни предприятия е  доминираща част. За всички страни, електронната търговия от страна на</w:t>
      </w:r>
      <w:r>
        <w:t xml:space="preserve"> МСП е над 20% в шепа страни (Норвегия, Исландия, Хърватска, Дания, Швеция, Германия и Ирландия) и </w:t>
      </w:r>
      <w:r w:rsidRPr="00FB3D2F">
        <w:t xml:space="preserve"> около 6% или по-малко в четири държави </w:t>
      </w:r>
      <w:r>
        <w:t>-</w:t>
      </w:r>
      <w:r>
        <w:rPr>
          <w:b/>
        </w:rPr>
        <w:t>България</w:t>
      </w:r>
      <w:r>
        <w:t>, Македония, Италия и Румъния.</w:t>
      </w:r>
      <w:r w:rsidRPr="00FB3D2F">
        <w:t xml:space="preserve"> Оборотът от електронната търговия  варира.  Анализът показва, че средно най-</w:t>
      </w:r>
      <w:r>
        <w:t>голямата част от уеб-продажбите</w:t>
      </w:r>
      <w:r w:rsidRPr="00FB3D2F">
        <w:t xml:space="preserve"> идват от B2C (Вusiness to Сustomer) и B2G (Business to G</w:t>
      </w:r>
      <w:r>
        <w:t>overnment) каналите</w:t>
      </w:r>
      <w:r w:rsidRPr="00FB3D2F">
        <w:t>. Все пак, това зависи от страната и сектора</w:t>
      </w:r>
      <w:r>
        <w:t xml:space="preserve"> и е обратното за търговията на</w:t>
      </w:r>
      <w:r w:rsidRPr="00FB3D2F">
        <w:t xml:space="preserve"> дребно,</w:t>
      </w:r>
      <w:r>
        <w:t xml:space="preserve"> телекомуникации и </w:t>
      </w:r>
      <w:r w:rsidRPr="00FB3D2F">
        <w:t xml:space="preserve"> туристически услуги.</w:t>
      </w:r>
    </w:p>
    <w:p w:rsidR="003A08D1" w:rsidRPr="00FB3D2F" w:rsidRDefault="003A08D1" w:rsidP="00A655C9">
      <w:pPr>
        <w:pStyle w:val="Default"/>
        <w:jc w:val="both"/>
      </w:pPr>
    </w:p>
    <w:p w:rsidR="003A08D1" w:rsidRPr="00FB3D2F" w:rsidRDefault="003A08D1" w:rsidP="00A655C9">
      <w:pPr>
        <w:jc w:val="both"/>
      </w:pPr>
    </w:p>
    <w:p w:rsidR="003A08D1" w:rsidRPr="00FB3D2F" w:rsidRDefault="003A08D1" w:rsidP="00DC511F">
      <w:pPr>
        <w:ind w:firstLine="708"/>
        <w:jc w:val="both"/>
      </w:pPr>
      <w:r w:rsidRPr="00FB3D2F">
        <w:t>В ЕС</w:t>
      </w:r>
      <w:r>
        <w:t xml:space="preserve">27 + страните, най-изявените в </w:t>
      </w:r>
      <w:r w:rsidRPr="00FB3D2F">
        <w:t xml:space="preserve"> онлайн покупк</w:t>
      </w:r>
      <w:r>
        <w:t>и през последните 12 месеца, са</w:t>
      </w:r>
      <w:r w:rsidRPr="00FB3D2F">
        <w:t xml:space="preserve"> гражданите на скандинавските страни (Норвегия, Швеция Дания и Финландия), Обединеното кралство (73%, +2 процентни пункта през 2011 г.), Холандия (70 %, +1 п.п.), Люксембург (68%, +3 процентни пункта) и Германия (65%, +1 п.п.)</w:t>
      </w:r>
      <w:r>
        <w:t>. В тези страни около две трети или повече</w:t>
      </w:r>
      <w:r w:rsidRPr="00FB3D2F">
        <w:t xml:space="preserve"> от гражданите правят покупки онлайн. Страните с особено ниски нива на ползване на електронната търговия</w:t>
      </w:r>
      <w:r>
        <w:t xml:space="preserve"> в последните 12 месеца са</w:t>
      </w:r>
      <w:r w:rsidRPr="00FB3D2F">
        <w:t xml:space="preserve"> Румъния (5%), Б</w:t>
      </w:r>
      <w:r w:rsidRPr="00FB3D2F">
        <w:rPr>
          <w:b/>
        </w:rPr>
        <w:t>ългария</w:t>
      </w:r>
      <w:r w:rsidRPr="00FB3D2F">
        <w:t xml:space="preserve"> (9%), Италия (17%), Литва (20%), Гърция (20%), Кипър (21%), Португалия</w:t>
      </w:r>
      <w:r>
        <w:t xml:space="preserve"> (22%), Хърватия и Естония (2%)</w:t>
      </w:r>
      <w:r w:rsidRPr="00FB3D2F">
        <w:t xml:space="preserve"> с по-малко от една трета от населението си ангажирано в електронната търговия.</w:t>
      </w:r>
    </w:p>
    <w:p w:rsidR="003A08D1" w:rsidRPr="00FB3D2F" w:rsidRDefault="003A08D1" w:rsidP="00DC511F">
      <w:pPr>
        <w:ind w:firstLine="708"/>
        <w:jc w:val="both"/>
      </w:pPr>
      <w:r>
        <w:t>Процентът на продажби онлайн на</w:t>
      </w:r>
      <w:r w:rsidRPr="00FB3D2F">
        <w:t xml:space="preserve"> малките и средни предприятия (МСП) напредва бавно, набира около един процентен пункт на всеки две години. През 2011 г. 15% от МСП в ЕС-27 са получавали по</w:t>
      </w:r>
      <w:r>
        <w:t xml:space="preserve">ръчки чрез </w:t>
      </w:r>
      <w:r w:rsidRPr="00FB3D2F">
        <w:t>компютърните мрежи. Зад последното понятие има две различни технологии: уеб-продажби и EDI (електронен обмен на данни или XML формати). Уеб-продажбите са основният канал, използван от 12% от малките и средните предприятия, и по-голямата част (9% от МСП в ЕС) използват само този канал. 3% използват</w:t>
      </w:r>
      <w:r>
        <w:t xml:space="preserve"> и двата вида уеб-продажби</w:t>
      </w:r>
      <w:r w:rsidRPr="00FB3D2F">
        <w:t xml:space="preserve"> и 3% използват само EDI.</w:t>
      </w:r>
    </w:p>
    <w:p w:rsidR="003A08D1" w:rsidRPr="00FB3D2F" w:rsidRDefault="003A08D1" w:rsidP="00982480">
      <w:pPr>
        <w:ind w:firstLine="708"/>
        <w:jc w:val="both"/>
      </w:pPr>
      <w:r>
        <w:t>При</w:t>
      </w:r>
      <w:r w:rsidRPr="00FB3D2F">
        <w:t xml:space="preserve"> разпределението на уеб-продажбите между отделните</w:t>
      </w:r>
      <w:r>
        <w:t xml:space="preserve"> страни</w:t>
      </w:r>
      <w:r w:rsidRPr="00FB3D2F">
        <w:t xml:space="preserve"> може да се види, че докато средно за ЕС около 12% от МСП и</w:t>
      </w:r>
      <w:r>
        <w:t xml:space="preserve">мат уеб-продажби, 20% и повече са </w:t>
      </w:r>
      <w:r w:rsidRPr="00FB3D2F">
        <w:t xml:space="preserve">в Норвегия, Исландия, Хърватия Дания, Швеция, Германия и Ирландия, докато това е 6% или по-малко в </w:t>
      </w:r>
      <w:r w:rsidRPr="00FB3D2F">
        <w:rPr>
          <w:b/>
        </w:rPr>
        <w:t>България,</w:t>
      </w:r>
      <w:r w:rsidRPr="00FB3D2F">
        <w:t xml:space="preserve"> Македония, Италия и Румъния.</w:t>
      </w:r>
    </w:p>
    <w:p w:rsidR="003A08D1" w:rsidRPr="00FB3D2F" w:rsidRDefault="003A08D1" w:rsidP="00A655C9"/>
    <w:p w:rsidR="003A08D1" w:rsidRPr="00FB3D2F" w:rsidRDefault="003A08D1" w:rsidP="00A655C9"/>
    <w:p w:rsidR="003A08D1" w:rsidRPr="00FB3D2F" w:rsidRDefault="003A08D1" w:rsidP="00A655C9"/>
    <w:p w:rsidR="003A08D1" w:rsidRDefault="003A08D1" w:rsidP="00A655C9">
      <w:pPr>
        <w:jc w:val="both"/>
      </w:pPr>
    </w:p>
    <w:p w:rsidR="003A08D1" w:rsidRDefault="003A08D1" w:rsidP="00A655C9">
      <w:pPr>
        <w:jc w:val="both"/>
        <w:rPr>
          <w:sz w:val="23"/>
          <w:szCs w:val="23"/>
        </w:rPr>
      </w:pPr>
      <w:r>
        <w:pict>
          <v:shape id="_x0000_i1048" type="#_x0000_t75" style="width:493.5pt;height:272.25pt">
            <v:imagedata r:id="rId35" o:title=""/>
          </v:shape>
        </w:pict>
      </w:r>
    </w:p>
    <w:p w:rsidR="003A08D1" w:rsidRDefault="003A08D1" w:rsidP="00A655C9">
      <w:pPr>
        <w:jc w:val="both"/>
        <w:rPr>
          <w:sz w:val="23"/>
          <w:szCs w:val="23"/>
        </w:rPr>
      </w:pPr>
    </w:p>
    <w:p w:rsidR="003A08D1" w:rsidRDefault="003A08D1" w:rsidP="00A655C9">
      <w:pPr>
        <w:jc w:val="both"/>
        <w:rPr>
          <w:sz w:val="23"/>
          <w:szCs w:val="23"/>
        </w:rPr>
      </w:pPr>
    </w:p>
    <w:p w:rsidR="003A08D1" w:rsidRDefault="003A08D1" w:rsidP="00A655C9">
      <w:pPr>
        <w:jc w:val="both"/>
        <w:rPr>
          <w:sz w:val="23"/>
          <w:szCs w:val="23"/>
        </w:rPr>
      </w:pPr>
      <w:r w:rsidRPr="00F532F5">
        <w:rPr>
          <w:sz w:val="23"/>
          <w:szCs w:val="23"/>
        </w:rPr>
        <w:pict>
          <v:shape id="_x0000_i1049" type="#_x0000_t75" style="width:469.5pt;height:209.25pt">
            <v:imagedata r:id="rId36" o:title=""/>
          </v:shape>
        </w:pict>
      </w:r>
    </w:p>
    <w:p w:rsidR="003A08D1" w:rsidRDefault="003A08D1" w:rsidP="00A655C9">
      <w:pPr>
        <w:jc w:val="both"/>
        <w:rPr>
          <w:sz w:val="23"/>
          <w:szCs w:val="23"/>
        </w:rPr>
      </w:pPr>
    </w:p>
    <w:p w:rsidR="003A08D1" w:rsidRDefault="003A08D1" w:rsidP="00A655C9">
      <w:pPr>
        <w:jc w:val="both"/>
        <w:rPr>
          <w:sz w:val="23"/>
          <w:szCs w:val="23"/>
        </w:rPr>
      </w:pPr>
      <w:r>
        <w:rPr>
          <w:b/>
          <w:bCs/>
          <w:sz w:val="20"/>
          <w:szCs w:val="20"/>
        </w:rPr>
        <w:t>Relevance of selling via the web for SMEs (2011) – proportion of turnover from web sales (% SMEs)</w:t>
      </w:r>
    </w:p>
    <w:p w:rsidR="003A08D1" w:rsidRDefault="003A08D1" w:rsidP="00A655C9">
      <w:pPr>
        <w:jc w:val="both"/>
        <w:rPr>
          <w:sz w:val="23"/>
          <w:szCs w:val="23"/>
        </w:rPr>
      </w:pPr>
    </w:p>
    <w:tbl>
      <w:tblPr>
        <w:tblW w:w="0" w:type="auto"/>
        <w:tblInd w:w="-108" w:type="dxa"/>
        <w:tblLayout w:type="fixed"/>
        <w:tblLook w:val="0000"/>
      </w:tblPr>
      <w:tblGrid>
        <w:gridCol w:w="2380"/>
        <w:gridCol w:w="2380"/>
        <w:gridCol w:w="360"/>
      </w:tblGrid>
      <w:tr w:rsidR="003A08D1" w:rsidTr="00A655C9">
        <w:trPr>
          <w:trHeight w:val="248"/>
        </w:trPr>
        <w:tc>
          <w:tcPr>
            <w:tcW w:w="2380" w:type="dxa"/>
            <w:tcBorders>
              <w:top w:val="nil"/>
              <w:left w:val="nil"/>
              <w:bottom w:val="nil"/>
              <w:right w:val="nil"/>
            </w:tcBorders>
          </w:tcPr>
          <w:p w:rsidR="003A08D1" w:rsidRPr="0035265C" w:rsidRDefault="003A08D1" w:rsidP="00A655C9">
            <w:pPr>
              <w:pStyle w:val="Default"/>
              <w:jc w:val="both"/>
              <w:rPr>
                <w:sz w:val="23"/>
                <w:szCs w:val="23"/>
              </w:rPr>
            </w:pPr>
            <w:r w:rsidRPr="0035265C">
              <w:rPr>
                <w:sz w:val="23"/>
                <w:szCs w:val="23"/>
              </w:rPr>
              <w:t xml:space="preserve">anecdotal = less than 1% of their turnover </w:t>
            </w:r>
          </w:p>
        </w:tc>
        <w:tc>
          <w:tcPr>
            <w:tcW w:w="2380" w:type="dxa"/>
            <w:tcBorders>
              <w:top w:val="nil"/>
              <w:left w:val="nil"/>
              <w:bottom w:val="nil"/>
              <w:right w:val="nil"/>
            </w:tcBorders>
          </w:tcPr>
          <w:p w:rsidR="003A08D1" w:rsidRDefault="003A08D1" w:rsidP="00A655C9">
            <w:pPr>
              <w:pStyle w:val="Default"/>
              <w:jc w:val="both"/>
              <w:rPr>
                <w:sz w:val="23"/>
                <w:szCs w:val="23"/>
              </w:rPr>
            </w:pPr>
            <w:r>
              <w:rPr>
                <w:sz w:val="23"/>
                <w:szCs w:val="23"/>
              </w:rPr>
              <w:t xml:space="preserve"> </w:t>
            </w:r>
            <w:r>
              <w:rPr>
                <w:b/>
                <w:bCs/>
                <w:sz w:val="23"/>
                <w:szCs w:val="23"/>
              </w:rPr>
              <w:t xml:space="preserve">2,2% </w:t>
            </w:r>
          </w:p>
        </w:tc>
        <w:tc>
          <w:tcPr>
            <w:tcW w:w="360" w:type="dxa"/>
          </w:tcPr>
          <w:p w:rsidR="003A08D1" w:rsidRDefault="003A08D1">
            <w:r>
              <w:rPr>
                <w:sz w:val="23"/>
                <w:szCs w:val="23"/>
              </w:rPr>
              <w:t xml:space="preserve"> </w:t>
            </w:r>
          </w:p>
        </w:tc>
      </w:tr>
      <w:tr w:rsidR="003A08D1" w:rsidTr="00A655C9">
        <w:trPr>
          <w:trHeight w:val="110"/>
        </w:trPr>
        <w:tc>
          <w:tcPr>
            <w:tcW w:w="2380" w:type="dxa"/>
            <w:tcBorders>
              <w:top w:val="nil"/>
              <w:left w:val="nil"/>
              <w:bottom w:val="nil"/>
              <w:right w:val="nil"/>
            </w:tcBorders>
          </w:tcPr>
          <w:p w:rsidR="003A08D1" w:rsidRPr="0035265C" w:rsidRDefault="003A08D1" w:rsidP="00A655C9">
            <w:pPr>
              <w:pStyle w:val="Default"/>
              <w:jc w:val="both"/>
              <w:rPr>
                <w:sz w:val="23"/>
                <w:szCs w:val="23"/>
              </w:rPr>
            </w:pPr>
            <w:r w:rsidRPr="0035265C">
              <w:rPr>
                <w:color w:val="auto"/>
              </w:rPr>
              <w:t xml:space="preserve"> </w:t>
            </w:r>
            <w:r w:rsidRPr="0035265C">
              <w:rPr>
                <w:sz w:val="23"/>
                <w:szCs w:val="23"/>
              </w:rPr>
              <w:t xml:space="preserve">low = 1% or more but less than 10% </w:t>
            </w:r>
          </w:p>
        </w:tc>
        <w:tc>
          <w:tcPr>
            <w:tcW w:w="2380" w:type="dxa"/>
            <w:tcBorders>
              <w:top w:val="nil"/>
              <w:left w:val="nil"/>
              <w:bottom w:val="nil"/>
              <w:right w:val="nil"/>
            </w:tcBorders>
          </w:tcPr>
          <w:p w:rsidR="003A08D1" w:rsidRDefault="003A08D1" w:rsidP="00A655C9">
            <w:pPr>
              <w:pStyle w:val="Default"/>
              <w:jc w:val="both"/>
              <w:rPr>
                <w:sz w:val="23"/>
                <w:szCs w:val="23"/>
              </w:rPr>
            </w:pPr>
            <w:r>
              <w:rPr>
                <w:sz w:val="23"/>
                <w:szCs w:val="23"/>
              </w:rPr>
              <w:t xml:space="preserve"> </w:t>
            </w:r>
            <w:r>
              <w:rPr>
                <w:b/>
                <w:bCs/>
                <w:sz w:val="23"/>
                <w:szCs w:val="23"/>
              </w:rPr>
              <w:t xml:space="preserve">4,8% </w:t>
            </w:r>
          </w:p>
        </w:tc>
        <w:tc>
          <w:tcPr>
            <w:tcW w:w="360" w:type="dxa"/>
          </w:tcPr>
          <w:p w:rsidR="003A08D1" w:rsidRDefault="003A08D1">
            <w:r>
              <w:rPr>
                <w:sz w:val="23"/>
                <w:szCs w:val="23"/>
              </w:rPr>
              <w:t xml:space="preserve"> </w:t>
            </w:r>
          </w:p>
        </w:tc>
      </w:tr>
      <w:tr w:rsidR="003A08D1" w:rsidTr="00A655C9">
        <w:trPr>
          <w:trHeight w:val="248"/>
        </w:trPr>
        <w:tc>
          <w:tcPr>
            <w:tcW w:w="2380" w:type="dxa"/>
            <w:tcBorders>
              <w:top w:val="nil"/>
              <w:left w:val="nil"/>
              <w:bottom w:val="nil"/>
              <w:right w:val="nil"/>
            </w:tcBorders>
          </w:tcPr>
          <w:p w:rsidR="003A08D1" w:rsidRPr="0035265C" w:rsidRDefault="003A08D1" w:rsidP="00A655C9">
            <w:pPr>
              <w:pStyle w:val="Default"/>
              <w:jc w:val="both"/>
              <w:rPr>
                <w:sz w:val="23"/>
                <w:szCs w:val="23"/>
              </w:rPr>
            </w:pPr>
            <w:r w:rsidRPr="0035265C">
              <w:rPr>
                <w:color w:val="auto"/>
              </w:rPr>
              <w:t xml:space="preserve"> </w:t>
            </w:r>
            <w:r w:rsidRPr="0035265C">
              <w:rPr>
                <w:sz w:val="23"/>
                <w:szCs w:val="23"/>
              </w:rPr>
              <w:t xml:space="preserve">consistent = 10% or more but less than 50% </w:t>
            </w:r>
          </w:p>
        </w:tc>
        <w:tc>
          <w:tcPr>
            <w:tcW w:w="2380" w:type="dxa"/>
            <w:tcBorders>
              <w:top w:val="nil"/>
              <w:left w:val="nil"/>
              <w:bottom w:val="nil"/>
              <w:right w:val="nil"/>
            </w:tcBorders>
          </w:tcPr>
          <w:p w:rsidR="003A08D1" w:rsidRDefault="003A08D1" w:rsidP="00A655C9">
            <w:pPr>
              <w:pStyle w:val="Default"/>
              <w:jc w:val="both"/>
              <w:rPr>
                <w:sz w:val="23"/>
                <w:szCs w:val="23"/>
              </w:rPr>
            </w:pPr>
            <w:r>
              <w:rPr>
                <w:sz w:val="23"/>
                <w:szCs w:val="23"/>
              </w:rPr>
              <w:t xml:space="preserve"> </w:t>
            </w:r>
            <w:r>
              <w:rPr>
                <w:b/>
                <w:bCs/>
                <w:sz w:val="23"/>
                <w:szCs w:val="23"/>
              </w:rPr>
              <w:t xml:space="preserve">3,8% </w:t>
            </w:r>
          </w:p>
        </w:tc>
        <w:tc>
          <w:tcPr>
            <w:tcW w:w="360" w:type="dxa"/>
          </w:tcPr>
          <w:p w:rsidR="003A08D1" w:rsidRDefault="003A08D1">
            <w:r>
              <w:rPr>
                <w:sz w:val="23"/>
                <w:szCs w:val="23"/>
              </w:rPr>
              <w:t xml:space="preserve"> </w:t>
            </w:r>
          </w:p>
        </w:tc>
      </w:tr>
      <w:tr w:rsidR="003A08D1" w:rsidTr="00A655C9">
        <w:trPr>
          <w:trHeight w:val="248"/>
        </w:trPr>
        <w:tc>
          <w:tcPr>
            <w:tcW w:w="2380" w:type="dxa"/>
            <w:tcBorders>
              <w:top w:val="nil"/>
              <w:left w:val="nil"/>
              <w:bottom w:val="nil"/>
              <w:right w:val="nil"/>
            </w:tcBorders>
          </w:tcPr>
          <w:p w:rsidR="003A08D1" w:rsidRPr="0035265C" w:rsidRDefault="003A08D1" w:rsidP="00A655C9">
            <w:pPr>
              <w:pStyle w:val="Default"/>
              <w:jc w:val="both"/>
              <w:rPr>
                <w:sz w:val="23"/>
                <w:szCs w:val="23"/>
              </w:rPr>
            </w:pPr>
            <w:r w:rsidRPr="0035265C">
              <w:rPr>
                <w:color w:val="auto"/>
              </w:rPr>
              <w:t xml:space="preserve"> </w:t>
            </w:r>
            <w:r w:rsidRPr="0035265C">
              <w:rPr>
                <w:sz w:val="23"/>
                <w:szCs w:val="23"/>
              </w:rPr>
              <w:t xml:space="preserve">dominant = 50% or more of their turnover </w:t>
            </w:r>
          </w:p>
        </w:tc>
        <w:tc>
          <w:tcPr>
            <w:tcW w:w="2380" w:type="dxa"/>
            <w:tcBorders>
              <w:top w:val="nil"/>
              <w:left w:val="nil"/>
              <w:bottom w:val="nil"/>
              <w:right w:val="nil"/>
            </w:tcBorders>
          </w:tcPr>
          <w:p w:rsidR="003A08D1" w:rsidRDefault="003A08D1" w:rsidP="00A655C9">
            <w:pPr>
              <w:pStyle w:val="Default"/>
              <w:jc w:val="both"/>
              <w:rPr>
                <w:sz w:val="23"/>
                <w:szCs w:val="23"/>
              </w:rPr>
            </w:pPr>
            <w:r>
              <w:rPr>
                <w:sz w:val="23"/>
                <w:szCs w:val="23"/>
              </w:rPr>
              <w:t xml:space="preserve"> </w:t>
            </w:r>
            <w:r>
              <w:rPr>
                <w:b/>
                <w:bCs/>
                <w:sz w:val="23"/>
                <w:szCs w:val="23"/>
              </w:rPr>
              <w:t xml:space="preserve">1,5% </w:t>
            </w:r>
          </w:p>
        </w:tc>
        <w:tc>
          <w:tcPr>
            <w:tcW w:w="360" w:type="dxa"/>
          </w:tcPr>
          <w:p w:rsidR="003A08D1" w:rsidRDefault="003A08D1">
            <w:r>
              <w:rPr>
                <w:sz w:val="23"/>
                <w:szCs w:val="23"/>
              </w:rPr>
              <w:t xml:space="preserve"> </w:t>
            </w:r>
          </w:p>
        </w:tc>
      </w:tr>
      <w:tr w:rsidR="003A08D1" w:rsidTr="00A655C9">
        <w:trPr>
          <w:trHeight w:val="107"/>
        </w:trPr>
        <w:tc>
          <w:tcPr>
            <w:tcW w:w="2380" w:type="dxa"/>
            <w:tcBorders>
              <w:top w:val="nil"/>
              <w:left w:val="nil"/>
              <w:bottom w:val="nil"/>
              <w:right w:val="nil"/>
            </w:tcBorders>
          </w:tcPr>
          <w:p w:rsidR="003A08D1" w:rsidRPr="0035265C" w:rsidRDefault="003A08D1" w:rsidP="00A655C9">
            <w:pPr>
              <w:pStyle w:val="Default"/>
              <w:jc w:val="both"/>
              <w:rPr>
                <w:sz w:val="23"/>
                <w:szCs w:val="23"/>
              </w:rPr>
            </w:pPr>
            <w:r w:rsidRPr="0035265C">
              <w:rPr>
                <w:color w:val="auto"/>
              </w:rPr>
              <w:t xml:space="preserve"> </w:t>
            </w:r>
            <w:r w:rsidRPr="0035265C">
              <w:rPr>
                <w:b/>
                <w:bCs/>
                <w:sz w:val="23"/>
                <w:szCs w:val="23"/>
              </w:rPr>
              <w:t xml:space="preserve">Total </w:t>
            </w:r>
          </w:p>
        </w:tc>
        <w:tc>
          <w:tcPr>
            <w:tcW w:w="2380" w:type="dxa"/>
            <w:tcBorders>
              <w:top w:val="nil"/>
              <w:left w:val="nil"/>
              <w:bottom w:val="nil"/>
              <w:right w:val="nil"/>
            </w:tcBorders>
          </w:tcPr>
          <w:p w:rsidR="003A08D1" w:rsidRDefault="003A08D1" w:rsidP="00A655C9">
            <w:pPr>
              <w:pStyle w:val="Default"/>
              <w:jc w:val="both"/>
              <w:rPr>
                <w:sz w:val="23"/>
                <w:szCs w:val="23"/>
              </w:rPr>
            </w:pPr>
            <w:r>
              <w:rPr>
                <w:sz w:val="23"/>
                <w:szCs w:val="23"/>
              </w:rPr>
              <w:t xml:space="preserve"> </w:t>
            </w:r>
            <w:r>
              <w:rPr>
                <w:b/>
                <w:bCs/>
                <w:sz w:val="23"/>
                <w:szCs w:val="23"/>
              </w:rPr>
              <w:t xml:space="preserve">12,3% </w:t>
            </w:r>
          </w:p>
        </w:tc>
        <w:tc>
          <w:tcPr>
            <w:tcW w:w="360" w:type="dxa"/>
          </w:tcPr>
          <w:p w:rsidR="003A08D1" w:rsidRDefault="003A08D1">
            <w:r>
              <w:rPr>
                <w:sz w:val="23"/>
                <w:szCs w:val="23"/>
              </w:rPr>
              <w:t xml:space="preserve"> </w:t>
            </w:r>
          </w:p>
        </w:tc>
      </w:tr>
      <w:tr w:rsidR="003A08D1" w:rsidTr="00A655C9">
        <w:trPr>
          <w:gridAfter w:val="1"/>
          <w:wAfter w:w="360" w:type="dxa"/>
          <w:trHeight w:val="107"/>
        </w:trPr>
        <w:tc>
          <w:tcPr>
            <w:tcW w:w="2380" w:type="dxa"/>
            <w:tcBorders>
              <w:top w:val="nil"/>
              <w:left w:val="nil"/>
              <w:bottom w:val="nil"/>
              <w:right w:val="nil"/>
            </w:tcBorders>
          </w:tcPr>
          <w:p w:rsidR="003A08D1" w:rsidRPr="0035265C" w:rsidRDefault="003A08D1" w:rsidP="00A655C9">
            <w:pPr>
              <w:pStyle w:val="Default"/>
              <w:jc w:val="both"/>
              <w:rPr>
                <w:color w:val="auto"/>
              </w:rPr>
            </w:pPr>
          </w:p>
        </w:tc>
        <w:tc>
          <w:tcPr>
            <w:tcW w:w="2380" w:type="dxa"/>
            <w:tcBorders>
              <w:top w:val="nil"/>
              <w:left w:val="nil"/>
              <w:bottom w:val="nil"/>
              <w:right w:val="nil"/>
            </w:tcBorders>
          </w:tcPr>
          <w:p w:rsidR="003A08D1" w:rsidRDefault="003A08D1" w:rsidP="00A655C9">
            <w:pPr>
              <w:pStyle w:val="Default"/>
              <w:jc w:val="both"/>
              <w:rPr>
                <w:sz w:val="23"/>
                <w:szCs w:val="23"/>
              </w:rPr>
            </w:pPr>
          </w:p>
        </w:tc>
      </w:tr>
    </w:tbl>
    <w:p w:rsidR="003A08D1" w:rsidRDefault="003A08D1" w:rsidP="00A655C9">
      <w:pPr>
        <w:jc w:val="both"/>
      </w:pPr>
    </w:p>
    <w:p w:rsidR="003A08D1" w:rsidRDefault="003A08D1" w:rsidP="00A655C9">
      <w:pPr>
        <w:jc w:val="both"/>
      </w:pPr>
    </w:p>
    <w:p w:rsidR="003A08D1" w:rsidRPr="00B51B95" w:rsidRDefault="003A08D1" w:rsidP="00A655C9">
      <w:pPr>
        <w:jc w:val="both"/>
      </w:pPr>
    </w:p>
    <w:p w:rsidR="003A08D1" w:rsidRDefault="003A08D1" w:rsidP="00A655C9">
      <w:pPr>
        <w:jc w:val="both"/>
        <w:rPr>
          <w:b/>
          <w:lang w:val="ru-RU"/>
        </w:rPr>
      </w:pPr>
      <w:r w:rsidRPr="00735024">
        <w:rPr>
          <w:b/>
          <w:lang w:val="ru-RU"/>
        </w:rPr>
        <w:t>е-Правителство</w:t>
      </w:r>
    </w:p>
    <w:p w:rsidR="003A08D1" w:rsidRPr="00735024" w:rsidRDefault="003A08D1" w:rsidP="00A655C9">
      <w:pPr>
        <w:jc w:val="both"/>
        <w:rPr>
          <w:b/>
          <w:lang w:val="ru-RU"/>
        </w:rPr>
      </w:pPr>
    </w:p>
    <w:p w:rsidR="003A08D1" w:rsidRPr="00A03CB1" w:rsidRDefault="003A08D1" w:rsidP="00A655C9">
      <w:pPr>
        <w:ind w:firstLine="708"/>
        <w:jc w:val="both"/>
        <w:rPr>
          <w:lang w:val="ru-RU"/>
        </w:rPr>
      </w:pPr>
      <w:r w:rsidRPr="00A03CB1">
        <w:rPr>
          <w:lang w:val="ru-RU"/>
        </w:rPr>
        <w:t xml:space="preserve">През 2012 г. 27% от гражданите в </w:t>
      </w:r>
      <w:r w:rsidRPr="00B439CA">
        <w:rPr>
          <w:b/>
          <w:lang w:val="ru-RU"/>
        </w:rPr>
        <w:t>България</w:t>
      </w:r>
      <w:r w:rsidRPr="00A03CB1">
        <w:rPr>
          <w:lang w:val="ru-RU"/>
        </w:rPr>
        <w:t xml:space="preserve"> </w:t>
      </w:r>
      <w:r>
        <w:t xml:space="preserve">са </w:t>
      </w:r>
      <w:r w:rsidRPr="00A03CB1">
        <w:rPr>
          <w:lang w:val="ru-RU"/>
        </w:rPr>
        <w:t>използва</w:t>
      </w:r>
      <w:r>
        <w:t>ли</w:t>
      </w:r>
      <w:r w:rsidRPr="00A03CB1">
        <w:rPr>
          <w:lang w:val="ru-RU"/>
        </w:rPr>
        <w:t xml:space="preserve"> интернет за услугите на електронното управление, умерено увеличение спрямо предходната година. 11% </w:t>
      </w:r>
      <w:r>
        <w:t xml:space="preserve">са </w:t>
      </w:r>
      <w:r w:rsidRPr="00A03CB1">
        <w:rPr>
          <w:lang w:val="ru-RU"/>
        </w:rPr>
        <w:t>изпра</w:t>
      </w:r>
      <w:r>
        <w:t xml:space="preserve">тили </w:t>
      </w:r>
      <w:r w:rsidRPr="00A03CB1">
        <w:rPr>
          <w:lang w:val="ru-RU"/>
        </w:rPr>
        <w:t>попълнени формуляри. Тези проценти са все още доста дал</w:t>
      </w:r>
      <w:r>
        <w:rPr>
          <w:lang w:val="ru-RU"/>
        </w:rPr>
        <w:t xml:space="preserve">еч под средните за ЕС </w:t>
      </w:r>
      <w:r w:rsidRPr="00A03CB1">
        <w:rPr>
          <w:lang w:val="ru-RU"/>
        </w:rPr>
        <w:t xml:space="preserve"> 44% и 22%, съответно</w:t>
      </w:r>
    </w:p>
    <w:p w:rsidR="003A08D1" w:rsidRPr="00BB2A19" w:rsidRDefault="003A08D1" w:rsidP="00427953">
      <w:pPr>
        <w:ind w:firstLine="708"/>
        <w:jc w:val="both"/>
      </w:pPr>
      <w:r w:rsidRPr="00A03CB1">
        <w:rPr>
          <w:lang w:val="ru-RU"/>
        </w:rPr>
        <w:t>Забележител</w:t>
      </w:r>
      <w:r>
        <w:t>е</w:t>
      </w:r>
      <w:r w:rsidRPr="00A03CB1">
        <w:rPr>
          <w:lang w:val="ru-RU"/>
        </w:rPr>
        <w:t>н</w:t>
      </w:r>
      <w:r>
        <w:rPr>
          <w:lang w:val="ru-RU"/>
        </w:rPr>
        <w:t xml:space="preserve"> е също </w:t>
      </w:r>
      <w:r w:rsidRPr="00A03CB1">
        <w:rPr>
          <w:lang w:val="ru-RU"/>
        </w:rPr>
        <w:t xml:space="preserve">фактът, че 83% от </w:t>
      </w:r>
      <w:r w:rsidRPr="00B439CA">
        <w:rPr>
          <w:b/>
          <w:lang w:val="ru-RU"/>
        </w:rPr>
        <w:t>българските предприятия</w:t>
      </w:r>
      <w:r w:rsidRPr="00A03CB1">
        <w:rPr>
          <w:lang w:val="ru-RU"/>
        </w:rPr>
        <w:t xml:space="preserve"> са използва</w:t>
      </w:r>
      <w:r>
        <w:t>ли</w:t>
      </w:r>
      <w:r w:rsidRPr="00A03CB1">
        <w:rPr>
          <w:lang w:val="ru-RU"/>
        </w:rPr>
        <w:t xml:space="preserve"> Интернет за взаимодействие с държавните органи,</w:t>
      </w:r>
      <w:r>
        <w:rPr>
          <w:lang w:val="ru-RU"/>
        </w:rPr>
        <w:t xml:space="preserve"> в близост до средния за ЕС27 -</w:t>
      </w:r>
      <w:r w:rsidRPr="00A03CB1">
        <w:rPr>
          <w:lang w:val="ru-RU"/>
        </w:rPr>
        <w:t xml:space="preserve"> 87%.</w:t>
      </w:r>
    </w:p>
    <w:p w:rsidR="003A08D1" w:rsidRPr="00A03CB1" w:rsidRDefault="003A08D1" w:rsidP="00A655C9">
      <w:pPr>
        <w:jc w:val="both"/>
        <w:rPr>
          <w:lang w:val="ru-RU"/>
        </w:rPr>
      </w:pPr>
    </w:p>
    <w:p w:rsidR="003A08D1" w:rsidRPr="00735024" w:rsidRDefault="003A08D1" w:rsidP="00A655C9">
      <w:pPr>
        <w:pStyle w:val="Default"/>
        <w:jc w:val="both"/>
        <w:rPr>
          <w:b/>
          <w:bCs/>
          <w:i/>
          <w:iCs/>
          <w:color w:val="auto"/>
          <w:lang w:val="ru-RU"/>
        </w:rPr>
      </w:pPr>
    </w:p>
    <w:p w:rsidR="003A08D1" w:rsidRPr="0036132F" w:rsidRDefault="003A08D1" w:rsidP="00A655C9">
      <w:pPr>
        <w:jc w:val="both"/>
        <w:rPr>
          <w:lang w:val="en-US"/>
        </w:rPr>
      </w:pPr>
      <w:r>
        <w:pict>
          <v:shape id="_x0000_i1050" type="#_x0000_t75" style="width:453.75pt;height:345.75pt">
            <v:imagedata r:id="rId37" o:title=""/>
          </v:shape>
        </w:pict>
      </w:r>
    </w:p>
    <w:p w:rsidR="003A08D1" w:rsidRDefault="003A08D1" w:rsidP="00A655C9">
      <w:pPr>
        <w:jc w:val="both"/>
        <w:rPr>
          <w:b/>
          <w:bCs/>
          <w:sz w:val="23"/>
          <w:szCs w:val="23"/>
        </w:rPr>
      </w:pPr>
    </w:p>
    <w:p w:rsidR="003A08D1" w:rsidRDefault="003A08D1" w:rsidP="00A655C9">
      <w:pPr>
        <w:jc w:val="both"/>
        <w:rPr>
          <w:b/>
          <w:bCs/>
          <w:sz w:val="23"/>
          <w:szCs w:val="23"/>
        </w:rPr>
      </w:pPr>
    </w:p>
    <w:p w:rsidR="003A08D1" w:rsidRPr="00A12C15" w:rsidRDefault="003A08D1" w:rsidP="00A655C9">
      <w:pPr>
        <w:jc w:val="both"/>
      </w:pPr>
    </w:p>
    <w:p w:rsidR="003A08D1" w:rsidRDefault="003A08D1" w:rsidP="00914E2B">
      <w:pPr>
        <w:ind w:firstLine="708"/>
        <w:jc w:val="both"/>
        <w:rPr>
          <w:sz w:val="23"/>
          <w:szCs w:val="23"/>
        </w:rPr>
      </w:pPr>
      <w:r>
        <w:t xml:space="preserve">Страните Белгия, Германия и Люксембург вървят надолу докато Румъния, България и Гърция </w:t>
      </w:r>
      <w:r>
        <w:rPr>
          <w:sz w:val="23"/>
          <w:szCs w:val="23"/>
        </w:rPr>
        <w:t>растат значително.</w:t>
      </w:r>
    </w:p>
    <w:p w:rsidR="003A08D1" w:rsidRDefault="003A08D1" w:rsidP="00914E2B">
      <w:pPr>
        <w:ind w:firstLine="708"/>
        <w:jc w:val="both"/>
        <w:rPr>
          <w:sz w:val="23"/>
          <w:szCs w:val="23"/>
        </w:rPr>
        <w:sectPr w:rsidR="003A08D1" w:rsidSect="00A655C9">
          <w:footerReference w:type="even" r:id="rId38"/>
          <w:footerReference w:type="default" r:id="rId39"/>
          <w:pgSz w:w="11906" w:h="16838" w:code="9"/>
          <w:pgMar w:top="1418" w:right="1418" w:bottom="1418" w:left="1418" w:header="709" w:footer="709" w:gutter="0"/>
          <w:cols w:space="708"/>
          <w:docGrid w:linePitch="360"/>
        </w:sectPr>
      </w:pPr>
    </w:p>
    <w:p w:rsidR="003A08D1" w:rsidRPr="00B51B95" w:rsidRDefault="003A08D1" w:rsidP="00A655C9">
      <w:pPr>
        <w:jc w:val="both"/>
      </w:pPr>
      <w:r w:rsidRPr="00F532F5">
        <w:rPr>
          <w:lang w:val="en-US"/>
        </w:rPr>
        <w:pict>
          <v:shape id="_x0000_i1051" type="#_x0000_t75" style="width:724.5pt;height:476.25pt">
            <v:imagedata r:id="rId40" o:title=""/>
          </v:shape>
        </w:pict>
      </w:r>
    </w:p>
    <w:p w:rsidR="003A08D1" w:rsidRDefault="003A08D1" w:rsidP="00A655C9">
      <w:pPr>
        <w:autoSpaceDE w:val="0"/>
        <w:autoSpaceDN w:val="0"/>
        <w:adjustRightInd w:val="0"/>
        <w:jc w:val="both"/>
        <w:rPr>
          <w:b/>
          <w:bCs/>
          <w:color w:val="4F82BE"/>
        </w:rPr>
        <w:sectPr w:rsidR="003A08D1" w:rsidSect="00A655C9">
          <w:pgSz w:w="16838" w:h="11906" w:orient="landscape" w:code="9"/>
          <w:pgMar w:top="1418" w:right="1418" w:bottom="1418" w:left="1418" w:header="709" w:footer="709" w:gutter="0"/>
          <w:cols w:space="708"/>
          <w:docGrid w:linePitch="360"/>
        </w:sectPr>
      </w:pPr>
    </w:p>
    <w:p w:rsidR="003A08D1" w:rsidRPr="0036132F" w:rsidRDefault="003A08D1" w:rsidP="00A655C9">
      <w:pPr>
        <w:autoSpaceDE w:val="0"/>
        <w:autoSpaceDN w:val="0"/>
        <w:adjustRightInd w:val="0"/>
        <w:jc w:val="both"/>
        <w:rPr>
          <w:color w:val="000000"/>
          <w:lang w:val="en-US"/>
        </w:rPr>
      </w:pPr>
    </w:p>
    <w:p w:rsidR="003A08D1" w:rsidRPr="000E637B" w:rsidRDefault="003A08D1" w:rsidP="00A655C9">
      <w:pPr>
        <w:autoSpaceDE w:val="0"/>
        <w:autoSpaceDN w:val="0"/>
        <w:adjustRightInd w:val="0"/>
        <w:jc w:val="both"/>
        <w:rPr>
          <w:b/>
          <w:color w:val="000000"/>
        </w:rPr>
      </w:pPr>
      <w:r>
        <w:rPr>
          <w:b/>
          <w:color w:val="000000"/>
        </w:rPr>
        <w:t xml:space="preserve"> ИКТ</w:t>
      </w:r>
      <w:r w:rsidRPr="000E637B">
        <w:rPr>
          <w:b/>
          <w:color w:val="000000"/>
        </w:rPr>
        <w:t xml:space="preserve"> R &amp; D и участие в 7РП</w:t>
      </w:r>
    </w:p>
    <w:p w:rsidR="003A08D1" w:rsidRPr="000E637B" w:rsidRDefault="003A08D1" w:rsidP="00A655C9">
      <w:pPr>
        <w:autoSpaceDE w:val="0"/>
        <w:autoSpaceDN w:val="0"/>
        <w:adjustRightInd w:val="0"/>
        <w:jc w:val="both"/>
        <w:rPr>
          <w:b/>
          <w:color w:val="000000"/>
        </w:rPr>
      </w:pPr>
      <w:r>
        <w:rPr>
          <w:b/>
          <w:color w:val="000000"/>
        </w:rPr>
        <w:t>Разходи</w:t>
      </w:r>
      <w:r w:rsidRPr="000E637B">
        <w:rPr>
          <w:b/>
          <w:color w:val="000000"/>
        </w:rPr>
        <w:t xml:space="preserve"> за развитие на R &amp; D в областта на ИКТ</w:t>
      </w:r>
    </w:p>
    <w:p w:rsidR="003A08D1" w:rsidRPr="00C870EC" w:rsidRDefault="003A08D1" w:rsidP="00A655C9">
      <w:pPr>
        <w:autoSpaceDE w:val="0"/>
        <w:autoSpaceDN w:val="0"/>
        <w:adjustRightInd w:val="0"/>
        <w:jc w:val="both"/>
        <w:rPr>
          <w:color w:val="000000"/>
        </w:rPr>
      </w:pPr>
    </w:p>
    <w:p w:rsidR="003A08D1" w:rsidRPr="00C870EC" w:rsidRDefault="003A08D1" w:rsidP="00A655C9">
      <w:pPr>
        <w:autoSpaceDE w:val="0"/>
        <w:autoSpaceDN w:val="0"/>
        <w:adjustRightInd w:val="0"/>
        <w:jc w:val="both"/>
        <w:rPr>
          <w:color w:val="000000"/>
        </w:rPr>
      </w:pPr>
      <w:r w:rsidRPr="00C870EC">
        <w:rPr>
          <w:color w:val="000000"/>
        </w:rPr>
        <w:t>• През 2011 г</w:t>
      </w:r>
      <w:r>
        <w:rPr>
          <w:color w:val="000000"/>
        </w:rPr>
        <w:t>. обществената подкрепа за ИКТ НИРД</w:t>
      </w:r>
      <w:r w:rsidRPr="00C870EC">
        <w:rPr>
          <w:color w:val="000000"/>
        </w:rPr>
        <w:t xml:space="preserve"> в България е € 5.4M, което представлява 5,5% от общото пу</w:t>
      </w:r>
      <w:r>
        <w:rPr>
          <w:color w:val="000000"/>
        </w:rPr>
        <w:t>блично финансиране на R &amp; D, което възлиза</w:t>
      </w:r>
      <w:r w:rsidRPr="00C870EC">
        <w:rPr>
          <w:color w:val="000000"/>
        </w:rPr>
        <w:t xml:space="preserve"> на 0,26% от БВП, което е под средното за ЕС (0.6%);</w:t>
      </w:r>
    </w:p>
    <w:p w:rsidR="003A08D1" w:rsidRDefault="003A08D1" w:rsidP="00A655C9">
      <w:pPr>
        <w:autoSpaceDE w:val="0"/>
        <w:autoSpaceDN w:val="0"/>
        <w:adjustRightInd w:val="0"/>
        <w:jc w:val="both"/>
        <w:rPr>
          <w:color w:val="000000"/>
        </w:rPr>
      </w:pPr>
      <w:r w:rsidRPr="00C870EC">
        <w:rPr>
          <w:color w:val="000000"/>
        </w:rPr>
        <w:t>• През 2010 г. разходите за дейността в се</w:t>
      </w:r>
      <w:r>
        <w:rPr>
          <w:color w:val="000000"/>
        </w:rPr>
        <w:t xml:space="preserve">ктора на ИКТ (ICT </w:t>
      </w:r>
      <w:r w:rsidRPr="0036132F">
        <w:rPr>
          <w:color w:val="000000"/>
        </w:rPr>
        <w:t>BERD</w:t>
      </w:r>
      <w:r>
        <w:rPr>
          <w:color w:val="000000"/>
        </w:rPr>
        <w:t xml:space="preserve">*) в </w:t>
      </w:r>
      <w:r w:rsidRPr="00C870EC">
        <w:rPr>
          <w:color w:val="000000"/>
        </w:rPr>
        <w:t xml:space="preserve">България възлизат на € 6.7м, което е спад от € 7М </w:t>
      </w:r>
      <w:r>
        <w:rPr>
          <w:color w:val="000000"/>
        </w:rPr>
        <w:t xml:space="preserve">от </w:t>
      </w:r>
      <w:r w:rsidRPr="00C870EC">
        <w:rPr>
          <w:color w:val="000000"/>
        </w:rPr>
        <w:t>предход</w:t>
      </w:r>
      <w:r>
        <w:rPr>
          <w:color w:val="000000"/>
        </w:rPr>
        <w:t>ната година. Делът на ИКТ в общия</w:t>
      </w:r>
      <w:r w:rsidRPr="00290FA1">
        <w:rPr>
          <w:color w:val="000000"/>
        </w:rPr>
        <w:t xml:space="preserve"> </w:t>
      </w:r>
      <w:r w:rsidRPr="0036132F">
        <w:rPr>
          <w:color w:val="000000"/>
        </w:rPr>
        <w:t>BERD</w:t>
      </w:r>
      <w:r>
        <w:rPr>
          <w:color w:val="000000"/>
        </w:rPr>
        <w:t xml:space="preserve"> </w:t>
      </w:r>
      <w:r w:rsidRPr="00C870EC">
        <w:rPr>
          <w:color w:val="000000"/>
        </w:rPr>
        <w:t>е сравнително нисък, малко над 6,1%, което е под средната стойност за ЕС (19%). Общо</w:t>
      </w:r>
      <w:r w:rsidRPr="00290FA1">
        <w:rPr>
          <w:color w:val="000000"/>
        </w:rPr>
        <w:t xml:space="preserve"> </w:t>
      </w:r>
      <w:r w:rsidRPr="0036132F">
        <w:rPr>
          <w:color w:val="000000"/>
        </w:rPr>
        <w:t>BERD</w:t>
      </w:r>
      <w:r>
        <w:rPr>
          <w:color w:val="000000"/>
        </w:rPr>
        <w:t xml:space="preserve"> </w:t>
      </w:r>
      <w:r w:rsidRPr="00C870EC">
        <w:rPr>
          <w:color w:val="000000"/>
        </w:rPr>
        <w:t>е 0,3% от БВП, което е под средното за ЕС (1.2%).</w:t>
      </w:r>
    </w:p>
    <w:p w:rsidR="003A08D1" w:rsidRDefault="003A08D1" w:rsidP="00A655C9">
      <w:pPr>
        <w:autoSpaceDE w:val="0"/>
        <w:autoSpaceDN w:val="0"/>
        <w:adjustRightInd w:val="0"/>
        <w:jc w:val="both"/>
        <w:rPr>
          <w:color w:val="000000"/>
        </w:rPr>
      </w:pPr>
    </w:p>
    <w:p w:rsidR="003A08D1" w:rsidRPr="0035265C" w:rsidRDefault="003A08D1" w:rsidP="00982480">
      <w:pPr>
        <w:autoSpaceDE w:val="0"/>
        <w:autoSpaceDN w:val="0"/>
        <w:adjustRightInd w:val="0"/>
        <w:jc w:val="both"/>
        <w:rPr>
          <w:color w:val="000000"/>
        </w:rPr>
      </w:pPr>
      <w:r w:rsidRPr="0035265C">
        <w:rPr>
          <w:color w:val="000000"/>
        </w:rPr>
        <w:t xml:space="preserve">*Government budget appropriations or outlays for research and development – GBAORD; </w:t>
      </w:r>
    </w:p>
    <w:p w:rsidR="003A08D1" w:rsidRPr="00C870EC" w:rsidRDefault="003A08D1" w:rsidP="00A655C9">
      <w:pPr>
        <w:autoSpaceDE w:val="0"/>
        <w:autoSpaceDN w:val="0"/>
        <w:adjustRightInd w:val="0"/>
        <w:jc w:val="both"/>
        <w:rPr>
          <w:color w:val="000000"/>
        </w:rPr>
      </w:pPr>
      <w:r w:rsidRPr="0035265C">
        <w:rPr>
          <w:color w:val="000000"/>
        </w:rPr>
        <w:t>Business enterprise expenditure on R&amp;D - BERD</w:t>
      </w:r>
    </w:p>
    <w:p w:rsidR="003A08D1" w:rsidRDefault="003A08D1" w:rsidP="00A655C9">
      <w:pPr>
        <w:autoSpaceDE w:val="0"/>
        <w:autoSpaceDN w:val="0"/>
        <w:adjustRightInd w:val="0"/>
        <w:jc w:val="both"/>
        <w:rPr>
          <w:b/>
          <w:color w:val="000000"/>
          <w:lang w:val="en-US"/>
        </w:rPr>
      </w:pPr>
    </w:p>
    <w:p w:rsidR="003A08D1" w:rsidRPr="00165EEC" w:rsidRDefault="003A08D1" w:rsidP="00A655C9">
      <w:pPr>
        <w:autoSpaceDE w:val="0"/>
        <w:autoSpaceDN w:val="0"/>
        <w:adjustRightInd w:val="0"/>
        <w:jc w:val="both"/>
        <w:rPr>
          <w:b/>
          <w:color w:val="000000"/>
        </w:rPr>
      </w:pPr>
      <w:r w:rsidRPr="00165EEC">
        <w:rPr>
          <w:b/>
          <w:color w:val="000000"/>
        </w:rPr>
        <w:t>Участие в тема ИКТ на 7РП</w:t>
      </w:r>
    </w:p>
    <w:p w:rsidR="003A08D1" w:rsidRPr="00C870EC" w:rsidRDefault="003A08D1" w:rsidP="00A655C9">
      <w:pPr>
        <w:autoSpaceDE w:val="0"/>
        <w:autoSpaceDN w:val="0"/>
        <w:adjustRightInd w:val="0"/>
        <w:jc w:val="both"/>
        <w:rPr>
          <w:color w:val="000000"/>
        </w:rPr>
      </w:pPr>
    </w:p>
    <w:p w:rsidR="003A08D1" w:rsidRPr="00C870EC" w:rsidRDefault="003A08D1" w:rsidP="00427953">
      <w:pPr>
        <w:autoSpaceDE w:val="0"/>
        <w:autoSpaceDN w:val="0"/>
        <w:adjustRightInd w:val="0"/>
        <w:ind w:firstLine="708"/>
        <w:jc w:val="both"/>
        <w:rPr>
          <w:color w:val="000000"/>
        </w:rPr>
      </w:pPr>
      <w:r w:rsidRPr="00C870EC">
        <w:rPr>
          <w:color w:val="000000"/>
        </w:rPr>
        <w:t xml:space="preserve">България участва с 72 проекта (0,4% от общия брой) през периода </w:t>
      </w:r>
      <w:r>
        <w:rPr>
          <w:color w:val="000000"/>
        </w:rPr>
        <w:t>2007-2012 г., за общо € 11.1M от</w:t>
      </w:r>
      <w:r w:rsidRPr="00C870EC">
        <w:rPr>
          <w:color w:val="000000"/>
        </w:rPr>
        <w:t xml:space="preserve"> ЕО </w:t>
      </w:r>
      <w:r>
        <w:rPr>
          <w:color w:val="000000"/>
        </w:rPr>
        <w:t>финансиране</w:t>
      </w:r>
      <w:r w:rsidRPr="00C870EC">
        <w:rPr>
          <w:color w:val="000000"/>
        </w:rPr>
        <w:t xml:space="preserve"> (0.2% от общата сума за финансиране), липсват проекти, координирани от български организации. Българското участие о</w:t>
      </w:r>
      <w:r>
        <w:rPr>
          <w:color w:val="000000"/>
        </w:rPr>
        <w:t>става стабилно при 0.2% от FP6 насам.</w:t>
      </w:r>
    </w:p>
    <w:p w:rsidR="003A08D1" w:rsidRPr="00C870EC" w:rsidRDefault="003A08D1" w:rsidP="00A655C9">
      <w:pPr>
        <w:autoSpaceDE w:val="0"/>
        <w:autoSpaceDN w:val="0"/>
        <w:adjustRightInd w:val="0"/>
        <w:jc w:val="both"/>
        <w:rPr>
          <w:color w:val="000000"/>
        </w:rPr>
      </w:pPr>
      <w:r w:rsidRPr="00C870EC">
        <w:rPr>
          <w:color w:val="000000"/>
        </w:rPr>
        <w:t>• За периода 2007 - 2012, 37 организации са участвали в FP-ICT програма. През 2012 г. половината от участниците са нови организации;</w:t>
      </w:r>
    </w:p>
    <w:p w:rsidR="003A08D1" w:rsidRPr="00C870EC" w:rsidRDefault="003A08D1" w:rsidP="00A655C9">
      <w:pPr>
        <w:autoSpaceDE w:val="0"/>
        <w:autoSpaceDN w:val="0"/>
        <w:adjustRightInd w:val="0"/>
        <w:jc w:val="both"/>
        <w:rPr>
          <w:color w:val="000000"/>
        </w:rPr>
      </w:pPr>
      <w:r w:rsidRPr="00C870EC">
        <w:rPr>
          <w:color w:val="000000"/>
        </w:rPr>
        <w:t>• Налице е участието на много силни МСП в 7РП (повече от 4 пъти повече от средното в ЕС по отношение на финансиране</w:t>
      </w:r>
      <w:r>
        <w:rPr>
          <w:color w:val="000000"/>
        </w:rPr>
        <w:t>то). МСП се финансират с</w:t>
      </w:r>
      <w:r w:rsidRPr="00C870EC">
        <w:rPr>
          <w:color w:val="000000"/>
        </w:rPr>
        <w:t xml:space="preserve"> 66% и 49% от всички български участия. Участие</w:t>
      </w:r>
      <w:r>
        <w:rPr>
          <w:color w:val="000000"/>
        </w:rPr>
        <w:t>то на изследователски институции,</w:t>
      </w:r>
      <w:r w:rsidRPr="00C870EC">
        <w:rPr>
          <w:color w:val="000000"/>
        </w:rPr>
        <w:t xml:space="preserve"> обратно</w:t>
      </w:r>
      <w:r>
        <w:rPr>
          <w:color w:val="000000"/>
        </w:rPr>
        <w:t xml:space="preserve"> е</w:t>
      </w:r>
      <w:r w:rsidRPr="00C870EC">
        <w:rPr>
          <w:color w:val="000000"/>
        </w:rPr>
        <w:t xml:space="preserve"> ниско (43%);</w:t>
      </w:r>
    </w:p>
    <w:p w:rsidR="003A08D1" w:rsidRPr="00C870EC" w:rsidRDefault="003A08D1" w:rsidP="00A655C9">
      <w:pPr>
        <w:autoSpaceDE w:val="0"/>
        <w:autoSpaceDN w:val="0"/>
        <w:adjustRightInd w:val="0"/>
        <w:jc w:val="both"/>
        <w:rPr>
          <w:color w:val="000000"/>
        </w:rPr>
      </w:pPr>
      <w:r w:rsidRPr="00C870EC">
        <w:rPr>
          <w:color w:val="000000"/>
        </w:rPr>
        <w:t>• София е основният и единствен център за Българска</w:t>
      </w:r>
      <w:r>
        <w:rPr>
          <w:color w:val="000000"/>
        </w:rPr>
        <w:t>та</w:t>
      </w:r>
      <w:r w:rsidRPr="00C870EC">
        <w:rPr>
          <w:color w:val="000000"/>
        </w:rPr>
        <w:t xml:space="preserve"> изследователска и развойна дейност;</w:t>
      </w:r>
    </w:p>
    <w:p w:rsidR="003A08D1" w:rsidRPr="00FA7B28" w:rsidRDefault="003A08D1" w:rsidP="00A655C9">
      <w:pPr>
        <w:autoSpaceDE w:val="0"/>
        <w:autoSpaceDN w:val="0"/>
        <w:adjustRightInd w:val="0"/>
        <w:jc w:val="both"/>
        <w:rPr>
          <w:color w:val="000000"/>
        </w:rPr>
      </w:pPr>
      <w:r>
        <w:rPr>
          <w:color w:val="000000"/>
        </w:rPr>
        <w:t>• По отношение на финансирането</w:t>
      </w:r>
      <w:r w:rsidRPr="00C870EC">
        <w:rPr>
          <w:color w:val="000000"/>
        </w:rPr>
        <w:t xml:space="preserve"> на стратегическите цели, получаващи най-висок дял са </w:t>
      </w:r>
      <w:r w:rsidRPr="0035265C">
        <w:rPr>
          <w:color w:val="000000"/>
        </w:rPr>
        <w:t>Intelligent Information Management, Networked Media, Language Technologies and ICT for inclusion. Стратегически цели със слабо участие включват някои от главните базови технологии. FET(</w:t>
      </w:r>
      <w:r w:rsidRPr="0035265C">
        <w:rPr>
          <w:color w:val="000000"/>
          <w:lang w:val="en-US"/>
        </w:rPr>
        <w:t>Future</w:t>
      </w:r>
      <w:r w:rsidRPr="0035265C">
        <w:rPr>
          <w:color w:val="000000"/>
        </w:rPr>
        <w:t xml:space="preserve">&amp; </w:t>
      </w:r>
      <w:r w:rsidRPr="0035265C">
        <w:rPr>
          <w:color w:val="000000"/>
          <w:lang w:val="en-US"/>
        </w:rPr>
        <w:t>Emerging</w:t>
      </w:r>
      <w:r w:rsidRPr="0035265C">
        <w:rPr>
          <w:color w:val="000000"/>
        </w:rPr>
        <w:t xml:space="preserve"> </w:t>
      </w:r>
      <w:r w:rsidRPr="0035265C">
        <w:rPr>
          <w:color w:val="000000"/>
          <w:lang w:val="en-US"/>
        </w:rPr>
        <w:t>Technologies</w:t>
      </w:r>
      <w:r w:rsidRPr="0035265C">
        <w:rPr>
          <w:color w:val="000000"/>
        </w:rPr>
        <w:t>), Micro/nanosystems, Photonics, Organic and large area electronics</w:t>
      </w:r>
      <w:r w:rsidRPr="0036132F">
        <w:rPr>
          <w:color w:val="000000"/>
        </w:rPr>
        <w:t xml:space="preserve"> </w:t>
      </w:r>
      <w:r>
        <w:rPr>
          <w:color w:val="000000"/>
        </w:rPr>
        <w:t xml:space="preserve">са сред ключовите области, в </w:t>
      </w:r>
      <w:r w:rsidRPr="00C870EC">
        <w:rPr>
          <w:color w:val="000000"/>
        </w:rPr>
        <w:t xml:space="preserve">които </w:t>
      </w:r>
      <w:r>
        <w:rPr>
          <w:color w:val="000000"/>
        </w:rPr>
        <w:t xml:space="preserve">няма представена </w:t>
      </w:r>
      <w:r w:rsidRPr="00C870EC">
        <w:rPr>
          <w:color w:val="000000"/>
        </w:rPr>
        <w:t>българска организация.</w:t>
      </w:r>
    </w:p>
    <w:p w:rsidR="003A08D1" w:rsidRPr="00FA7B28" w:rsidRDefault="003A08D1" w:rsidP="00A655C9">
      <w:pPr>
        <w:autoSpaceDE w:val="0"/>
        <w:autoSpaceDN w:val="0"/>
        <w:adjustRightInd w:val="0"/>
        <w:jc w:val="both"/>
        <w:rPr>
          <w:color w:val="000000"/>
        </w:rPr>
      </w:pPr>
    </w:p>
    <w:p w:rsidR="003A08D1" w:rsidRPr="00290FA1" w:rsidRDefault="003A08D1" w:rsidP="00A655C9">
      <w:pPr>
        <w:autoSpaceDE w:val="0"/>
        <w:autoSpaceDN w:val="0"/>
        <w:adjustRightInd w:val="0"/>
        <w:jc w:val="both"/>
        <w:rPr>
          <w:b/>
        </w:rPr>
      </w:pPr>
      <w:r>
        <w:rPr>
          <w:b/>
          <w:sz w:val="28"/>
          <w:szCs w:val="28"/>
        </w:rPr>
        <w:t xml:space="preserve"> </w:t>
      </w:r>
      <w:r w:rsidRPr="00290FA1">
        <w:rPr>
          <w:b/>
        </w:rPr>
        <w:t>ИКТ в образованието</w:t>
      </w:r>
    </w:p>
    <w:p w:rsidR="003A08D1" w:rsidRPr="00290FA1" w:rsidRDefault="003A08D1" w:rsidP="00A655C9">
      <w:pPr>
        <w:ind w:left="227" w:right="227" w:firstLine="709"/>
        <w:jc w:val="both"/>
        <w:rPr>
          <w:b/>
        </w:rPr>
      </w:pPr>
    </w:p>
    <w:p w:rsidR="003A08D1" w:rsidRPr="001419E7" w:rsidRDefault="003A08D1" w:rsidP="00A655C9">
      <w:pPr>
        <w:ind w:left="227" w:right="227" w:firstLine="709"/>
        <w:jc w:val="both"/>
      </w:pPr>
      <w:r w:rsidRPr="001419E7">
        <w:t>Учениците в България ползват Интернет с по-висока скорост в сравнение със средн</w:t>
      </w:r>
      <w:r>
        <w:t>о</w:t>
      </w:r>
      <w:r w:rsidRPr="001419E7">
        <w:t>т</w:t>
      </w:r>
      <w:r>
        <w:t>о</w:t>
      </w:r>
      <w:r w:rsidRPr="001419E7">
        <w:t xml:space="preserve"> за ЕС, но има повече ученици на един компютър и процентът на </w:t>
      </w:r>
      <w:r w:rsidRPr="00FA7B28">
        <w:rPr>
          <w:lang w:val="ru-RU"/>
        </w:rPr>
        <w:t>“</w:t>
      </w:r>
      <w:r w:rsidRPr="001419E7">
        <w:t>несвързаните</w:t>
      </w:r>
      <w:r w:rsidRPr="00FA7B28">
        <w:rPr>
          <w:lang w:val="ru-RU"/>
        </w:rPr>
        <w:t>”</w:t>
      </w:r>
      <w:r w:rsidRPr="001419E7">
        <w:t xml:space="preserve"> училища е по-висок от средния за ЕС. Въпреки това, честотата на използване на ИКТ оборудване от учителите е близко до </w:t>
      </w:r>
      <w:r>
        <w:t>това в ЕС, а от учениците като цяло е над тази на другите страни, особено по отношение на използването на техните собствени мобилни телефони за обучение в клас. Нивото на увереност на учителите в ИКТ уменията е около средното за ЕС. Има относително високи нива на професионалното развитие на учителите в областта на ИКТ и на места е на лице педагогическа и техническа подкрепа от ИКТ координаторите в училище. Тази подкрепа без съмнение рефлектира върху високото използване на ИКТ в клас.</w:t>
      </w:r>
    </w:p>
    <w:p w:rsidR="003A08D1" w:rsidRDefault="003A08D1" w:rsidP="00A655C9">
      <w:pPr>
        <w:ind w:left="227" w:right="227" w:firstLine="709"/>
        <w:jc w:val="both"/>
        <w:rPr>
          <w:b/>
        </w:rPr>
      </w:pPr>
    </w:p>
    <w:p w:rsidR="003A08D1" w:rsidRDefault="003A08D1" w:rsidP="00A655C9">
      <w:pPr>
        <w:ind w:left="227" w:right="227" w:firstLine="709"/>
        <w:jc w:val="both"/>
        <w:rPr>
          <w:b/>
        </w:rPr>
      </w:pPr>
      <w:r w:rsidRPr="00BC2400">
        <w:rPr>
          <w:b/>
        </w:rPr>
        <w:t xml:space="preserve">Наличност на компютри за нуждите на образованието. </w:t>
      </w:r>
    </w:p>
    <w:p w:rsidR="003A08D1" w:rsidRPr="00FA7B28" w:rsidRDefault="003A08D1" w:rsidP="00A655C9">
      <w:pPr>
        <w:autoSpaceDE w:val="0"/>
        <w:autoSpaceDN w:val="0"/>
        <w:adjustRightInd w:val="0"/>
        <w:jc w:val="both"/>
        <w:rPr>
          <w:color w:val="000000"/>
          <w:lang w:val="ru-RU"/>
        </w:rPr>
      </w:pPr>
    </w:p>
    <w:p w:rsidR="003A08D1" w:rsidRDefault="003A08D1" w:rsidP="00A655C9">
      <w:pPr>
        <w:ind w:left="227" w:right="227" w:firstLine="709"/>
        <w:jc w:val="both"/>
        <w:rPr>
          <w:lang w:val="ru-RU"/>
        </w:rPr>
      </w:pPr>
      <w:r w:rsidRPr="00181A4F">
        <w:t xml:space="preserve">В България на разположение на учениците от всички степени на образованието са </w:t>
      </w:r>
      <w:r>
        <w:t>половината от броя на</w:t>
      </w:r>
      <w:r w:rsidRPr="00181A4F">
        <w:t xml:space="preserve"> компютри</w:t>
      </w:r>
      <w:r>
        <w:t>те</w:t>
      </w:r>
      <w:r w:rsidRPr="00181A4F">
        <w:t xml:space="preserve"> от средната стойност за ЕС, с изключение на 11 </w:t>
      </w:r>
      <w:r>
        <w:t xml:space="preserve">общообразователен </w:t>
      </w:r>
      <w:r w:rsidRPr="00181A4F">
        <w:t xml:space="preserve">клас, където на приблизително 3 пъти повече </w:t>
      </w:r>
      <w:r>
        <w:t xml:space="preserve">от средния брой </w:t>
      </w:r>
      <w:r w:rsidRPr="00181A4F">
        <w:t xml:space="preserve">ученици </w:t>
      </w:r>
      <w:r>
        <w:t xml:space="preserve">за ЕС </w:t>
      </w:r>
      <w:r w:rsidRPr="00181A4F">
        <w:t xml:space="preserve">се пада един </w:t>
      </w:r>
      <w:r>
        <w:t xml:space="preserve">компютър </w:t>
      </w:r>
      <w:r w:rsidRPr="0022149B">
        <w:rPr>
          <w:lang w:val="ru-RU"/>
        </w:rPr>
        <w:t>(</w:t>
      </w:r>
      <w:r>
        <w:rPr>
          <w:lang w:val="ru-RU"/>
        </w:rPr>
        <w:t>11 ученика на компютър, при средно за ЕС – 4 ученика на компютър</w:t>
      </w:r>
      <w:r w:rsidRPr="00FA7B28">
        <w:rPr>
          <w:lang w:val="ru-RU"/>
        </w:rPr>
        <w:t>)</w:t>
      </w:r>
      <w:r>
        <w:t xml:space="preserve">, докато при </w:t>
      </w:r>
      <w:r>
        <w:rPr>
          <w:lang w:val="ru-RU"/>
        </w:rPr>
        <w:t xml:space="preserve">11 специализиран </w:t>
      </w:r>
      <w:r w:rsidRPr="003972B5">
        <w:rPr>
          <w:lang w:val="ru-RU"/>
        </w:rPr>
        <w:t>(</w:t>
      </w:r>
      <w:r>
        <w:rPr>
          <w:lang w:val="ru-RU"/>
        </w:rPr>
        <w:t>профилиран</w:t>
      </w:r>
      <w:r w:rsidRPr="003972B5">
        <w:rPr>
          <w:lang w:val="ru-RU"/>
        </w:rPr>
        <w:t>)</w:t>
      </w:r>
      <w:r>
        <w:rPr>
          <w:lang w:val="ru-RU"/>
        </w:rPr>
        <w:t xml:space="preserve"> клас на средното образование са 6 ученика на компютър, при средно за ЕС 3</w:t>
      </w:r>
      <w:r w:rsidRPr="007208BD">
        <w:rPr>
          <w:lang w:val="ru-RU"/>
        </w:rPr>
        <w:t xml:space="preserve"> </w:t>
      </w:r>
      <w:r>
        <w:rPr>
          <w:lang w:val="ru-RU"/>
        </w:rPr>
        <w:t xml:space="preserve">ученика на компютър. </w:t>
      </w:r>
    </w:p>
    <w:p w:rsidR="003A08D1" w:rsidRDefault="003A08D1" w:rsidP="00A655C9">
      <w:pPr>
        <w:ind w:left="227" w:right="227" w:firstLine="709"/>
        <w:jc w:val="both"/>
        <w:rPr>
          <w:lang w:val="ru-RU"/>
        </w:rPr>
      </w:pPr>
      <w:r>
        <w:rPr>
          <w:lang w:val="ru-RU"/>
        </w:rPr>
        <w:t xml:space="preserve">В четвърти клас са 15 деца на компютър при средно за ЕС 7 ученика на компютър, което поставя България  на 24 място от 28 страни. По този показател Фигура 2.1. показва, че в класацията за осми клас, България се нарежда сред последните пет държави, с 11 ученика на компютър при средно 5 ученика на компютър за ЕС. </w:t>
      </w:r>
    </w:p>
    <w:p w:rsidR="003A08D1" w:rsidRPr="00D55E78" w:rsidRDefault="003A08D1" w:rsidP="00A655C9">
      <w:pPr>
        <w:ind w:left="227" w:right="227" w:firstLine="709"/>
        <w:jc w:val="both"/>
        <w:rPr>
          <w:b/>
        </w:rPr>
      </w:pPr>
      <w:r>
        <w:rPr>
          <w:b/>
          <w:lang w:val="ru-RU"/>
        </w:rPr>
        <w:t>Фигура 2.1</w:t>
      </w:r>
      <w:r w:rsidRPr="00D55E78">
        <w:rPr>
          <w:b/>
          <w:lang w:val="ru-RU"/>
        </w:rPr>
        <w:t xml:space="preserve"> </w:t>
      </w:r>
      <w:r w:rsidRPr="00D55E78">
        <w:rPr>
          <w:b/>
        </w:rPr>
        <w:t xml:space="preserve">Ученици на един компютър </w:t>
      </w:r>
      <w:r w:rsidRPr="00D55E78">
        <w:rPr>
          <w:b/>
          <w:lang w:val="ru-RU"/>
        </w:rPr>
        <w:t>(</w:t>
      </w:r>
      <w:r>
        <w:rPr>
          <w:b/>
          <w:lang w:val="ru-RU"/>
        </w:rPr>
        <w:t xml:space="preserve">осми клас, </w:t>
      </w:r>
      <w:r w:rsidRPr="00D55E78">
        <w:rPr>
          <w:b/>
          <w:lang w:val="ru-RU"/>
        </w:rPr>
        <w:t>страни-членки и средна стойност за ЕС 2011-2012)</w:t>
      </w:r>
    </w:p>
    <w:p w:rsidR="003A08D1" w:rsidRDefault="003A08D1" w:rsidP="00A655C9">
      <w:pPr>
        <w:ind w:left="227" w:right="227" w:hanging="47"/>
        <w:jc w:val="both"/>
      </w:pPr>
      <w:r>
        <w:pict>
          <v:shape id="_x0000_i1052" type="#_x0000_t75" style="width:449.25pt;height:172.5pt">
            <v:imagedata r:id="rId41" o:title=""/>
          </v:shape>
        </w:pict>
      </w:r>
    </w:p>
    <w:p w:rsidR="003A08D1" w:rsidRDefault="003A08D1" w:rsidP="00A655C9">
      <w:pPr>
        <w:ind w:left="227" w:right="227" w:firstLine="709"/>
        <w:jc w:val="both"/>
        <w:rPr>
          <w:lang w:val="ru-RU"/>
        </w:rPr>
      </w:pPr>
      <w:r>
        <w:rPr>
          <w:lang w:val="ru-RU"/>
        </w:rPr>
        <w:t xml:space="preserve">Настолните компютри, свързани с Интернет са два  пъти по-малко </w:t>
      </w:r>
      <w:r w:rsidRPr="006F3786">
        <w:rPr>
          <w:lang w:val="ru-RU"/>
        </w:rPr>
        <w:t>(</w:t>
      </w:r>
      <w:r>
        <w:rPr>
          <w:lang w:val="ru-RU"/>
        </w:rPr>
        <w:t>13 ученика на компютър</w:t>
      </w:r>
      <w:r w:rsidRPr="006F3786">
        <w:rPr>
          <w:lang w:val="ru-RU"/>
        </w:rPr>
        <w:t>)</w:t>
      </w:r>
      <w:r>
        <w:t xml:space="preserve"> </w:t>
      </w:r>
      <w:r>
        <w:rPr>
          <w:lang w:val="ru-RU"/>
        </w:rPr>
        <w:t xml:space="preserve">за учениците от осми клас, в сравнение със средната стойност за ЕС                </w:t>
      </w:r>
      <w:r w:rsidRPr="006F3786">
        <w:rPr>
          <w:lang w:val="ru-RU"/>
        </w:rPr>
        <w:t>(</w:t>
      </w:r>
      <w:r>
        <w:rPr>
          <w:lang w:val="ru-RU"/>
        </w:rPr>
        <w:t>7 ученика на компютър</w:t>
      </w:r>
      <w:r w:rsidRPr="006F3786">
        <w:rPr>
          <w:lang w:val="ru-RU"/>
        </w:rPr>
        <w:t>)</w:t>
      </w:r>
      <w:r>
        <w:rPr>
          <w:lang w:val="ru-RU"/>
        </w:rPr>
        <w:t xml:space="preserve">. По този показател страната заема 22 място, от 27 страни. </w:t>
      </w:r>
    </w:p>
    <w:p w:rsidR="003A08D1" w:rsidRDefault="003A08D1" w:rsidP="00A655C9">
      <w:pPr>
        <w:ind w:left="227" w:right="227" w:firstLine="709"/>
        <w:jc w:val="both"/>
        <w:rPr>
          <w:lang w:val="ru-RU"/>
        </w:rPr>
      </w:pPr>
      <w:r>
        <w:rPr>
          <w:lang w:val="ru-RU"/>
        </w:rPr>
        <w:t xml:space="preserve">В страната повечето компютри са настолни и има сравнително малко лаптопи. По отношение на съотношението лаптоп, свързан с Интернет - ученик, се падат 143 ученика в четвърти клас на един лаптоп. В единадесети клас представянето на България е близко до средната група страни, въпреки че е далеч от средното ниво за ЕС </w:t>
      </w:r>
      <w:r w:rsidRPr="00FA6025">
        <w:rPr>
          <w:lang w:val="ru-RU"/>
        </w:rPr>
        <w:t>(</w:t>
      </w:r>
      <w:r>
        <w:rPr>
          <w:lang w:val="ru-RU"/>
        </w:rPr>
        <w:t>56 ученика на лаптоп, при средно за ЕС 14</w:t>
      </w:r>
      <w:r w:rsidRPr="00FA6025">
        <w:rPr>
          <w:lang w:val="ru-RU"/>
        </w:rPr>
        <w:t>)</w:t>
      </w:r>
      <w:r>
        <w:rPr>
          <w:lang w:val="ru-RU"/>
        </w:rPr>
        <w:t xml:space="preserve">. Това може да се обясни с високия процент на учениците, които носят свой собствен лаптоп в училище, като например в осми клас и останалите класове. </w:t>
      </w:r>
    </w:p>
    <w:p w:rsidR="003A08D1" w:rsidRPr="00D55E78" w:rsidRDefault="003A08D1" w:rsidP="00A655C9">
      <w:pPr>
        <w:ind w:left="227" w:right="227" w:firstLine="709"/>
        <w:jc w:val="both"/>
        <w:rPr>
          <w:b/>
        </w:rPr>
      </w:pPr>
      <w:r w:rsidRPr="007255F1">
        <w:rPr>
          <w:b/>
          <w:lang w:val="ru-RU"/>
        </w:rPr>
        <w:t>Фиг. 2 Ученици на компютър и лаптоп, свързани към Интернет</w:t>
      </w:r>
      <w:r>
        <w:rPr>
          <w:lang w:val="ru-RU"/>
        </w:rPr>
        <w:t xml:space="preserve"> </w:t>
      </w:r>
      <w:r w:rsidRPr="00D55E78">
        <w:rPr>
          <w:b/>
          <w:lang w:val="ru-RU"/>
        </w:rPr>
        <w:t>(</w:t>
      </w:r>
      <w:r>
        <w:rPr>
          <w:b/>
          <w:lang w:val="ru-RU"/>
        </w:rPr>
        <w:t xml:space="preserve">осми клас, </w:t>
      </w:r>
      <w:r w:rsidRPr="00D55E78">
        <w:rPr>
          <w:b/>
          <w:lang w:val="ru-RU"/>
        </w:rPr>
        <w:t>страни-членки и средна стойност за ЕС 2011-2012)</w:t>
      </w:r>
    </w:p>
    <w:p w:rsidR="003A08D1" w:rsidRPr="00FA6D3E" w:rsidRDefault="003A08D1" w:rsidP="00A655C9">
      <w:pPr>
        <w:ind w:left="227" w:right="227" w:firstLine="709"/>
        <w:jc w:val="both"/>
      </w:pPr>
    </w:p>
    <w:p w:rsidR="003A08D1" w:rsidRPr="00275742" w:rsidRDefault="003A08D1" w:rsidP="00A655C9">
      <w:pPr>
        <w:ind w:left="227" w:right="227" w:firstLine="709"/>
        <w:jc w:val="both"/>
        <w:rPr>
          <w:b/>
          <w:lang w:val="ru-RU"/>
        </w:rPr>
      </w:pPr>
      <w:r>
        <w:pict>
          <v:shape id="_x0000_i1053" type="#_x0000_t75" style="width:441pt;height:174.75pt">
            <v:imagedata r:id="rId42" o:title=""/>
          </v:shape>
        </w:pict>
      </w:r>
      <w:r w:rsidRPr="00B30E20">
        <w:rPr>
          <w:b/>
          <w:lang w:val="ru-RU"/>
        </w:rPr>
        <w:t xml:space="preserve"> </w:t>
      </w:r>
      <w:r>
        <w:rPr>
          <w:b/>
          <w:lang w:val="ru-RU"/>
        </w:rPr>
        <w:t xml:space="preserve">           </w:t>
      </w:r>
      <w:r w:rsidRPr="00275742">
        <w:rPr>
          <w:b/>
          <w:lang w:val="ru-RU"/>
        </w:rPr>
        <w:t>Широколентов Интернет достъп</w:t>
      </w:r>
    </w:p>
    <w:p w:rsidR="003A08D1" w:rsidRPr="00FA7B28" w:rsidRDefault="003A08D1" w:rsidP="00A655C9">
      <w:pPr>
        <w:ind w:left="227" w:right="227" w:firstLine="709"/>
        <w:jc w:val="both"/>
        <w:rPr>
          <w:lang w:val="ru-RU"/>
        </w:rPr>
      </w:pPr>
      <w:r>
        <w:rPr>
          <w:lang w:val="ru-RU"/>
        </w:rPr>
        <w:t xml:space="preserve">Скоростите на широколентовата Интернет връзка във всички степени на образованието са по-високи от повечето страни и само 4-5 % от учениците, </w:t>
      </w:r>
      <w:r w:rsidRPr="00275742">
        <w:rPr>
          <w:lang w:val="ru-RU"/>
        </w:rPr>
        <w:t>(</w:t>
      </w:r>
      <w:r>
        <w:rPr>
          <w:lang w:val="ru-RU"/>
        </w:rPr>
        <w:t>в зависимост от класа</w:t>
      </w:r>
      <w:r w:rsidRPr="00275742">
        <w:rPr>
          <w:lang w:val="ru-RU"/>
        </w:rPr>
        <w:t>)</w:t>
      </w:r>
      <w:r>
        <w:rPr>
          <w:lang w:val="ru-RU"/>
        </w:rPr>
        <w:t xml:space="preserve"> са в училища без широколентова Интернет връзка. </w:t>
      </w:r>
    </w:p>
    <w:p w:rsidR="003A08D1" w:rsidRPr="00304ABE" w:rsidRDefault="003A08D1" w:rsidP="00A655C9">
      <w:pPr>
        <w:ind w:left="227" w:right="227" w:firstLine="709"/>
        <w:jc w:val="both"/>
        <w:rPr>
          <w:b/>
        </w:rPr>
      </w:pPr>
      <w:r>
        <w:rPr>
          <w:b/>
        </w:rPr>
        <w:t xml:space="preserve">Фиг. 2.3 </w:t>
      </w:r>
      <w:r w:rsidRPr="00304ABE">
        <w:rPr>
          <w:b/>
        </w:rPr>
        <w:t>Широколентова скорост</w:t>
      </w:r>
    </w:p>
    <w:p w:rsidR="003A08D1" w:rsidRDefault="003A08D1" w:rsidP="00A655C9">
      <w:pPr>
        <w:ind w:left="227" w:right="227" w:hanging="47"/>
        <w:jc w:val="both"/>
      </w:pPr>
      <w:r>
        <w:pict>
          <v:shape id="_x0000_i1054" type="#_x0000_t75" style="width:447pt;height:247.5pt">
            <v:imagedata r:id="rId43" o:title=""/>
          </v:shape>
        </w:pict>
      </w:r>
    </w:p>
    <w:p w:rsidR="003A08D1" w:rsidRDefault="003A08D1" w:rsidP="00A655C9">
      <w:pPr>
        <w:ind w:left="227" w:right="227" w:firstLine="709"/>
        <w:jc w:val="both"/>
        <w:rPr>
          <w:lang w:val="ru-RU"/>
        </w:rPr>
      </w:pPr>
      <w:r w:rsidRPr="005C7FF9">
        <w:rPr>
          <w:rFonts w:cs="ArialMT"/>
        </w:rPr>
        <w:t xml:space="preserve">Фигура </w:t>
      </w:r>
      <w:r>
        <w:rPr>
          <w:rFonts w:cs="ArialMT"/>
        </w:rPr>
        <w:t xml:space="preserve">2.4 сравнява България с останалите страни: при 8 клас, тя се намира в средната група страни, с процент на учениците в училища с по-висока от 100 </w:t>
      </w:r>
      <w:r>
        <w:rPr>
          <w:rFonts w:cs="ArialMT"/>
          <w:lang w:val="en-US"/>
        </w:rPr>
        <w:t>Mbps</w:t>
      </w:r>
      <w:r>
        <w:rPr>
          <w:rFonts w:cs="ArialMT"/>
          <w:lang w:val="ru-RU"/>
        </w:rPr>
        <w:t xml:space="preserve">. При четвърти клас България се нарежда на 5 място по този показател </w:t>
      </w:r>
      <w:r w:rsidRPr="00236316">
        <w:rPr>
          <w:lang w:val="ru-RU"/>
        </w:rPr>
        <w:t>(фиг. 1.</w:t>
      </w:r>
      <w:r>
        <w:rPr>
          <w:lang w:val="ru-RU"/>
        </w:rPr>
        <w:t xml:space="preserve">8. от основния Доклад), а при 11 общообразователен клас на 19 място. </w:t>
      </w:r>
    </w:p>
    <w:p w:rsidR="003A08D1" w:rsidRPr="00AC03B2" w:rsidRDefault="003A08D1" w:rsidP="00A655C9">
      <w:pPr>
        <w:ind w:left="227" w:right="227" w:firstLine="709"/>
        <w:jc w:val="both"/>
        <w:rPr>
          <w:b/>
        </w:rPr>
      </w:pPr>
      <w:r>
        <w:rPr>
          <w:rFonts w:cs="ArialMT"/>
          <w:lang w:val="ru-RU"/>
        </w:rPr>
        <w:t xml:space="preserve">. </w:t>
      </w:r>
      <w:r>
        <w:rPr>
          <w:rFonts w:cs="ArialMT"/>
        </w:rPr>
        <w:t xml:space="preserve"> </w:t>
      </w:r>
      <w:r w:rsidRPr="00304ABE">
        <w:rPr>
          <w:b/>
        </w:rPr>
        <w:t>Фиг. 2.</w:t>
      </w:r>
      <w:r>
        <w:rPr>
          <w:b/>
        </w:rPr>
        <w:t>4</w:t>
      </w:r>
      <w:r w:rsidRPr="00304ABE">
        <w:rPr>
          <w:b/>
        </w:rPr>
        <w:t xml:space="preserve"> Широколентова скорост</w:t>
      </w:r>
      <w:r>
        <w:rPr>
          <w:b/>
        </w:rPr>
        <w:t xml:space="preserve"> </w:t>
      </w:r>
      <w:r w:rsidRPr="00D55E78">
        <w:rPr>
          <w:b/>
          <w:lang w:val="ru-RU"/>
        </w:rPr>
        <w:t>(</w:t>
      </w:r>
      <w:r>
        <w:rPr>
          <w:b/>
          <w:lang w:val="ru-RU"/>
        </w:rPr>
        <w:t xml:space="preserve">осми клас, </w:t>
      </w:r>
      <w:r w:rsidRPr="00D55E78">
        <w:rPr>
          <w:b/>
          <w:lang w:val="ru-RU"/>
        </w:rPr>
        <w:t>страни-членки и средна стойност за ЕС 2011-2012</w:t>
      </w:r>
      <w:r>
        <w:rPr>
          <w:b/>
          <w:lang w:val="ru-RU"/>
        </w:rPr>
        <w:t xml:space="preserve">, подредени по </w:t>
      </w:r>
      <w:r>
        <w:rPr>
          <w:rFonts w:ascii="Viner Hand ITC" w:hAnsi="Viner Hand ITC"/>
          <w:b/>
          <w:lang w:val="ru-RU"/>
        </w:rPr>
        <w:t>&gt;</w:t>
      </w:r>
      <w:r>
        <w:rPr>
          <w:b/>
          <w:lang w:val="ru-RU"/>
        </w:rPr>
        <w:t xml:space="preserve">100 </w:t>
      </w:r>
      <w:r>
        <w:rPr>
          <w:b/>
          <w:lang w:val="en-US"/>
        </w:rPr>
        <w:t>Mbps</w:t>
      </w:r>
      <w:r>
        <w:rPr>
          <w:b/>
        </w:rPr>
        <w:t xml:space="preserve">, </w:t>
      </w:r>
      <w:r w:rsidRPr="00D55E78">
        <w:rPr>
          <w:b/>
          <w:lang w:val="ru-RU"/>
        </w:rPr>
        <w:t>2011-2012)</w:t>
      </w:r>
    </w:p>
    <w:p w:rsidR="003A08D1" w:rsidRDefault="003A08D1" w:rsidP="00A655C9">
      <w:pPr>
        <w:ind w:left="227" w:right="227" w:firstLine="709"/>
        <w:jc w:val="both"/>
        <w:rPr>
          <w:lang w:val="ru-RU"/>
        </w:rPr>
      </w:pPr>
      <w:r>
        <w:pict>
          <v:shape id="_x0000_i1055" type="#_x0000_t75" style="width:453.75pt;height:201.75pt">
            <v:imagedata r:id="rId44" o:title=""/>
          </v:shape>
        </w:pict>
      </w:r>
    </w:p>
    <w:p w:rsidR="003A08D1" w:rsidRDefault="003A08D1" w:rsidP="00A655C9">
      <w:pPr>
        <w:autoSpaceDE w:val="0"/>
        <w:autoSpaceDN w:val="0"/>
        <w:adjustRightInd w:val="0"/>
        <w:ind w:left="227" w:right="227" w:firstLine="709"/>
        <w:jc w:val="both"/>
        <w:rPr>
          <w:color w:val="000000"/>
        </w:rPr>
      </w:pPr>
      <w:r w:rsidRPr="00434B5F">
        <w:rPr>
          <w:color w:val="000000"/>
          <w:lang w:val="ru-RU"/>
        </w:rPr>
        <w:t>Съществува връзка между броят на жителите в съответното населено място на училището и скоростта на широколентовата връзка, при по-гъсто населените райони скоростта е по-висока, отколкото в селските и слабо населени райони, което за България е ясно видно при четвърти клас</w:t>
      </w:r>
      <w:r>
        <w:rPr>
          <w:color w:val="000000"/>
        </w:rPr>
        <w:t>.</w:t>
      </w:r>
    </w:p>
    <w:p w:rsidR="003A08D1" w:rsidRPr="008733DC" w:rsidRDefault="003A08D1" w:rsidP="00A655C9">
      <w:pPr>
        <w:autoSpaceDE w:val="0"/>
        <w:autoSpaceDN w:val="0"/>
        <w:adjustRightInd w:val="0"/>
        <w:ind w:left="227" w:right="227" w:firstLine="709"/>
        <w:jc w:val="both"/>
        <w:rPr>
          <w:rFonts w:cs="ArialMT"/>
          <w:b/>
        </w:rPr>
      </w:pPr>
      <w:r w:rsidRPr="008733DC">
        <w:rPr>
          <w:rFonts w:cs="ArialMT"/>
          <w:b/>
        </w:rPr>
        <w:t>Свързаност</w:t>
      </w:r>
    </w:p>
    <w:p w:rsidR="003A08D1" w:rsidRDefault="003A08D1" w:rsidP="00A655C9">
      <w:pPr>
        <w:autoSpaceDE w:val="0"/>
        <w:autoSpaceDN w:val="0"/>
        <w:adjustRightInd w:val="0"/>
        <w:ind w:left="227" w:right="227" w:firstLine="709"/>
        <w:jc w:val="both"/>
        <w:rPr>
          <w:rFonts w:cs="ArialMT"/>
        </w:rPr>
      </w:pPr>
      <w:r>
        <w:rPr>
          <w:rFonts w:cs="ArialMT"/>
        </w:rPr>
        <w:t xml:space="preserve">Процентът на ученици в училища, които отговарят на характеристиките за свързаност, в това число имат уебсайт или виртуална обучителна среда са показани по-долу, също както и тези, в които не е на лице нито една от тези характеристики. Във всички класове в България, процентът на учениците от училища, които нямат уебсайт е под средното европейско ниво. Процентът на ученици от училища без виртуална обучителна среда в четвърти клас е под средното за ЕС и значително под него за осми и единадесети клас. </w:t>
      </w:r>
      <w:r w:rsidRPr="00E0089E">
        <w:rPr>
          <w:rFonts w:cs="ArialMT"/>
          <w:lang w:val="ru-RU"/>
        </w:rPr>
        <w:t>“</w:t>
      </w:r>
      <w:r>
        <w:rPr>
          <w:rFonts w:cs="ArialMT"/>
        </w:rPr>
        <w:t>Несвързаните училища</w:t>
      </w:r>
      <w:r w:rsidRPr="00E0089E">
        <w:rPr>
          <w:rFonts w:cs="ArialMT"/>
          <w:lang w:val="ru-RU"/>
        </w:rPr>
        <w:t>”</w:t>
      </w:r>
      <w:r>
        <w:rPr>
          <w:rFonts w:cs="ArialMT"/>
        </w:rPr>
        <w:t xml:space="preserve"> са под средното ниво за ЕС при всички класове. </w:t>
      </w:r>
    </w:p>
    <w:p w:rsidR="003A08D1" w:rsidRDefault="003A08D1" w:rsidP="00A655C9">
      <w:pPr>
        <w:ind w:left="227" w:right="227" w:firstLine="709"/>
        <w:jc w:val="both"/>
      </w:pPr>
      <w:r>
        <w:rPr>
          <w:rFonts w:cs="ArialMT"/>
          <w:lang w:val="ru-RU"/>
        </w:rPr>
        <w:t xml:space="preserve">. </w:t>
      </w:r>
      <w:r w:rsidRPr="00304ABE">
        <w:rPr>
          <w:b/>
        </w:rPr>
        <w:t>Фиг. 2.</w:t>
      </w:r>
      <w:r>
        <w:rPr>
          <w:b/>
        </w:rPr>
        <w:t>5</w:t>
      </w:r>
      <w:r w:rsidRPr="00304ABE">
        <w:rPr>
          <w:b/>
        </w:rPr>
        <w:t xml:space="preserve"> </w:t>
      </w:r>
      <w:r>
        <w:rPr>
          <w:b/>
        </w:rPr>
        <w:t xml:space="preserve">Процент на учениците в свързаните училища – уебсайтове,  </w:t>
      </w:r>
      <w:r w:rsidRPr="00EF5A36">
        <w:rPr>
          <w:b/>
        </w:rPr>
        <w:t>виртуална обучителна среда</w:t>
      </w:r>
      <w:r>
        <w:rPr>
          <w:b/>
        </w:rPr>
        <w:t>, няма свързаност</w:t>
      </w:r>
      <w:r w:rsidRPr="00EF5A36">
        <w:rPr>
          <w:b/>
        </w:rPr>
        <w:t xml:space="preserve"> </w:t>
      </w:r>
      <w:r>
        <w:rPr>
          <w:b/>
        </w:rPr>
        <w:t xml:space="preserve">– </w:t>
      </w:r>
      <w:r w:rsidRPr="00EF5A36">
        <w:rPr>
          <w:b/>
          <w:lang w:val="ru-RU"/>
        </w:rPr>
        <w:t>(</w:t>
      </w:r>
      <w:r>
        <w:rPr>
          <w:b/>
        </w:rPr>
        <w:t>България и ЕС, 2011-2012</w:t>
      </w:r>
      <w:r w:rsidRPr="00EF5A36">
        <w:rPr>
          <w:b/>
          <w:lang w:val="ru-RU"/>
        </w:rPr>
        <w:t>)</w:t>
      </w:r>
      <w:r>
        <w:pict>
          <v:shape id="_x0000_i1056" type="#_x0000_t75" style="width:451.5pt;height:227.25pt">
            <v:imagedata r:id="rId45" o:title=""/>
          </v:shape>
        </w:pict>
      </w:r>
    </w:p>
    <w:p w:rsidR="003A08D1" w:rsidRPr="008733DC" w:rsidRDefault="003A08D1" w:rsidP="00A655C9">
      <w:pPr>
        <w:autoSpaceDE w:val="0"/>
        <w:autoSpaceDN w:val="0"/>
        <w:adjustRightInd w:val="0"/>
        <w:ind w:right="227"/>
        <w:jc w:val="both"/>
        <w:rPr>
          <w:b/>
        </w:rPr>
      </w:pPr>
      <w:r>
        <w:rPr>
          <w:sz w:val="28"/>
          <w:szCs w:val="28"/>
        </w:rPr>
        <w:t xml:space="preserve">             </w:t>
      </w:r>
      <w:r w:rsidRPr="008733DC">
        <w:rPr>
          <w:b/>
        </w:rPr>
        <w:t>Честота на употребата на ИКТ от учителите в клас</w:t>
      </w:r>
    </w:p>
    <w:p w:rsidR="003A08D1" w:rsidRDefault="003A08D1" w:rsidP="00A655C9">
      <w:pPr>
        <w:autoSpaceDE w:val="0"/>
        <w:autoSpaceDN w:val="0"/>
        <w:adjustRightInd w:val="0"/>
        <w:ind w:left="227" w:right="227" w:firstLine="709"/>
        <w:jc w:val="both"/>
      </w:pPr>
      <w:r>
        <w:t>Малко повече учители в четвърти и единадесети профилиран клас, използват ИКТ в повече от 25% от уроците си, което е над средното европейско ниво, но при останалите класове е по-ниско. Най-интензивното използване е в 11 профилиран клас, където около един от пет учители използват ИКТ при работата с учениците в повече от 75% от уроците, което е близко до европейското ниво.</w:t>
      </w:r>
    </w:p>
    <w:p w:rsidR="003A08D1" w:rsidRPr="00195760" w:rsidRDefault="003A08D1" w:rsidP="00A655C9">
      <w:pPr>
        <w:tabs>
          <w:tab w:val="left" w:pos="2235"/>
        </w:tabs>
        <w:ind w:left="227" w:right="227" w:firstLine="709"/>
        <w:jc w:val="both"/>
        <w:rPr>
          <w:b/>
        </w:rPr>
      </w:pPr>
      <w:r w:rsidRPr="00195760">
        <w:rPr>
          <w:b/>
        </w:rPr>
        <w:t xml:space="preserve">Фиг. 3.1 Честота на употребата на ИКТ оборудване от учителите в уроците </w:t>
      </w:r>
      <w:r w:rsidRPr="00195760">
        <w:rPr>
          <w:b/>
          <w:lang w:val="ru-RU"/>
        </w:rPr>
        <w:t>(в % ученици, България и ЕС, 2011-2012)</w:t>
      </w:r>
      <w:r w:rsidRPr="00195760">
        <w:rPr>
          <w:b/>
        </w:rPr>
        <w:t xml:space="preserve"> </w:t>
      </w:r>
    </w:p>
    <w:p w:rsidR="003A08D1" w:rsidRDefault="003A08D1" w:rsidP="00A655C9">
      <w:pPr>
        <w:autoSpaceDE w:val="0"/>
        <w:autoSpaceDN w:val="0"/>
        <w:adjustRightInd w:val="0"/>
        <w:ind w:left="227" w:right="227" w:firstLine="709"/>
        <w:jc w:val="both"/>
      </w:pPr>
      <w:r>
        <w:pict>
          <v:shape id="_x0000_i1057" type="#_x0000_t75" style="width:446.25pt;height:151.5pt">
            <v:imagedata r:id="rId46" o:title=""/>
          </v:shape>
        </w:pict>
      </w:r>
    </w:p>
    <w:p w:rsidR="003A08D1" w:rsidRPr="008733DC" w:rsidRDefault="003A08D1" w:rsidP="00A655C9">
      <w:pPr>
        <w:tabs>
          <w:tab w:val="left" w:pos="2235"/>
        </w:tabs>
        <w:ind w:left="227" w:right="227" w:firstLine="709"/>
        <w:jc w:val="both"/>
        <w:rPr>
          <w:rFonts w:cs="ArialMT"/>
        </w:rPr>
      </w:pPr>
      <w:r w:rsidRPr="008733DC">
        <w:rPr>
          <w:rFonts w:cs="ArialMT"/>
          <w:b/>
        </w:rPr>
        <w:t>Използване на ИКТ от учениците</w:t>
      </w:r>
    </w:p>
    <w:p w:rsidR="003A08D1" w:rsidRDefault="003A08D1" w:rsidP="00A655C9">
      <w:pPr>
        <w:tabs>
          <w:tab w:val="left" w:pos="2235"/>
        </w:tabs>
        <w:ind w:left="227" w:right="227" w:firstLine="709"/>
        <w:jc w:val="both"/>
        <w:rPr>
          <w:rFonts w:cs="ArialMT"/>
        </w:rPr>
      </w:pPr>
      <w:r>
        <w:rPr>
          <w:rFonts w:cs="ArialMT"/>
        </w:rPr>
        <w:t xml:space="preserve">В България употребата на компютри от учениците в клас е под средното ниво за ЕС във всички класове, както и използването на техни собствени лаптопи. Използването на мобилни телефони е над средното ниво за Европа, с изключение на 11 профилиран клас, където нивото е близко до европейското. </w:t>
      </w:r>
    </w:p>
    <w:p w:rsidR="003A08D1" w:rsidRPr="00195760" w:rsidRDefault="003A08D1" w:rsidP="00A655C9">
      <w:pPr>
        <w:tabs>
          <w:tab w:val="left" w:pos="2235"/>
        </w:tabs>
        <w:ind w:left="227" w:right="227" w:firstLine="709"/>
        <w:jc w:val="both"/>
        <w:rPr>
          <w:b/>
        </w:rPr>
      </w:pPr>
      <w:r w:rsidRPr="00195760">
        <w:rPr>
          <w:b/>
        </w:rPr>
        <w:t>Фиг. 3.</w:t>
      </w:r>
      <w:r>
        <w:rPr>
          <w:b/>
        </w:rPr>
        <w:t>3</w:t>
      </w:r>
      <w:r w:rsidRPr="00195760">
        <w:rPr>
          <w:b/>
        </w:rPr>
        <w:t xml:space="preserve"> </w:t>
      </w:r>
      <w:r>
        <w:rPr>
          <w:b/>
        </w:rPr>
        <w:t>Процент на учениците, които използват ИКТ оборудване в образователния процес, поне веднъж седмично</w:t>
      </w:r>
    </w:p>
    <w:p w:rsidR="003A08D1" w:rsidRDefault="003A08D1" w:rsidP="00A655C9">
      <w:pPr>
        <w:tabs>
          <w:tab w:val="left" w:pos="2235"/>
        </w:tabs>
        <w:ind w:left="227" w:right="227" w:firstLine="709"/>
        <w:jc w:val="both"/>
        <w:rPr>
          <w:rFonts w:cs="ArialMT"/>
        </w:rPr>
      </w:pPr>
    </w:p>
    <w:p w:rsidR="003A08D1" w:rsidRDefault="003A08D1" w:rsidP="00A655C9">
      <w:pPr>
        <w:autoSpaceDE w:val="0"/>
        <w:autoSpaceDN w:val="0"/>
        <w:adjustRightInd w:val="0"/>
        <w:ind w:left="227" w:right="227" w:firstLine="709"/>
        <w:jc w:val="both"/>
      </w:pPr>
      <w:r>
        <w:pict>
          <v:shape id="_x0000_i1058" type="#_x0000_t75" style="width:411.75pt;height:204.75pt">
            <v:imagedata r:id="rId47" o:title=""/>
          </v:shape>
        </w:pict>
      </w:r>
    </w:p>
    <w:p w:rsidR="003A08D1" w:rsidRPr="008733DC" w:rsidRDefault="003A08D1" w:rsidP="00A655C9">
      <w:pPr>
        <w:tabs>
          <w:tab w:val="left" w:pos="2235"/>
        </w:tabs>
        <w:ind w:right="227"/>
        <w:jc w:val="both"/>
        <w:rPr>
          <w:b/>
          <w:lang w:val="ru-RU"/>
        </w:rPr>
      </w:pPr>
      <w:r>
        <w:rPr>
          <w:b/>
          <w:sz w:val="28"/>
          <w:szCs w:val="28"/>
        </w:rPr>
        <w:t xml:space="preserve">    </w:t>
      </w:r>
      <w:r w:rsidRPr="008733DC">
        <w:rPr>
          <w:b/>
        </w:rPr>
        <w:t>Цифрова увереност</w:t>
      </w:r>
    </w:p>
    <w:p w:rsidR="003A08D1" w:rsidRPr="00D757A1" w:rsidRDefault="003A08D1" w:rsidP="00A655C9">
      <w:pPr>
        <w:tabs>
          <w:tab w:val="left" w:pos="2235"/>
        </w:tabs>
        <w:ind w:left="227" w:right="227" w:firstLine="133"/>
        <w:jc w:val="both"/>
        <w:rPr>
          <w:b/>
          <w:sz w:val="28"/>
          <w:szCs w:val="28"/>
        </w:rPr>
      </w:pPr>
      <w:r w:rsidRPr="008733DC">
        <w:rPr>
          <w:b/>
        </w:rPr>
        <w:t>Учители</w:t>
      </w:r>
      <w:r w:rsidRPr="00D757A1">
        <w:rPr>
          <w:b/>
          <w:sz w:val="28"/>
          <w:szCs w:val="28"/>
        </w:rPr>
        <w:tab/>
      </w:r>
    </w:p>
    <w:p w:rsidR="003A08D1" w:rsidRDefault="003A08D1" w:rsidP="00A655C9">
      <w:pPr>
        <w:tabs>
          <w:tab w:val="left" w:pos="2235"/>
        </w:tabs>
        <w:ind w:left="227" w:right="227" w:firstLine="709"/>
        <w:jc w:val="both"/>
      </w:pPr>
      <w:r>
        <w:t xml:space="preserve">Увереността на учителите от всички степени в техните работни ИКТ умения е близка до тази на средното европейско ниво, същото важи и за техните умения във виртуалното общуване, размяна на информация и идеи и др.. </w:t>
      </w:r>
    </w:p>
    <w:p w:rsidR="003A08D1" w:rsidRDefault="003A08D1" w:rsidP="00A655C9">
      <w:pPr>
        <w:shd w:val="clear" w:color="auto" w:fill="FFFFFF"/>
        <w:ind w:left="227" w:right="227" w:firstLine="709"/>
        <w:jc w:val="both"/>
        <w:rPr>
          <w:b/>
          <w:bCs/>
          <w:color w:val="000000"/>
          <w:lang w:val="ru-RU"/>
        </w:rPr>
      </w:pPr>
      <w:r>
        <w:rPr>
          <w:b/>
          <w:bCs/>
          <w:color w:val="000000"/>
        </w:rPr>
        <w:t>Фиг. 4.1</w:t>
      </w:r>
      <w:r w:rsidRPr="00DC6F8E">
        <w:rPr>
          <w:b/>
          <w:bCs/>
          <w:color w:val="000000"/>
          <w:lang w:val="ru-RU"/>
        </w:rPr>
        <w:t xml:space="preserve">: </w:t>
      </w:r>
      <w:r>
        <w:rPr>
          <w:b/>
          <w:bCs/>
          <w:color w:val="000000"/>
        </w:rPr>
        <w:t xml:space="preserve">Самоувереност на учителите в техните оперативни и виртуални социални умения </w:t>
      </w:r>
      <w:r w:rsidRPr="005E3FBE">
        <w:rPr>
          <w:b/>
          <w:bCs/>
          <w:color w:val="000000"/>
          <w:lang w:val="ru-RU"/>
        </w:rPr>
        <w:t>(</w:t>
      </w:r>
      <w:r>
        <w:rPr>
          <w:b/>
          <w:bCs/>
          <w:color w:val="000000"/>
        </w:rPr>
        <w:t xml:space="preserve">по класове, среден резултат от учениците – като </w:t>
      </w:r>
      <w:r w:rsidRPr="005E3FBE">
        <w:rPr>
          <w:b/>
          <w:bCs/>
          <w:color w:val="000000"/>
          <w:lang w:val="ru-RU"/>
        </w:rPr>
        <w:t>“</w:t>
      </w:r>
      <w:r>
        <w:rPr>
          <w:b/>
          <w:bCs/>
          <w:color w:val="000000"/>
        </w:rPr>
        <w:t>1</w:t>
      </w:r>
      <w:r w:rsidRPr="005E3FBE">
        <w:rPr>
          <w:b/>
          <w:bCs/>
          <w:color w:val="000000"/>
          <w:lang w:val="ru-RU"/>
        </w:rPr>
        <w:t>”</w:t>
      </w:r>
      <w:r>
        <w:rPr>
          <w:b/>
          <w:bCs/>
          <w:color w:val="000000"/>
        </w:rPr>
        <w:t xml:space="preserve"> </w:t>
      </w:r>
      <w:r>
        <w:rPr>
          <w:b/>
          <w:bCs/>
          <w:color w:val="000000"/>
          <w:lang w:val="en-US"/>
        </w:rPr>
        <w:t>e</w:t>
      </w:r>
      <w:r w:rsidRPr="005E3FBE">
        <w:rPr>
          <w:b/>
          <w:bCs/>
          <w:color w:val="000000"/>
          <w:lang w:val="ru-RU"/>
        </w:rPr>
        <w:t xml:space="preserve"> “</w:t>
      </w:r>
      <w:r>
        <w:rPr>
          <w:b/>
          <w:bCs/>
          <w:color w:val="000000"/>
        </w:rPr>
        <w:t>никакви</w:t>
      </w:r>
      <w:r w:rsidRPr="005E3FBE">
        <w:rPr>
          <w:b/>
          <w:bCs/>
          <w:color w:val="000000"/>
          <w:lang w:val="ru-RU"/>
        </w:rPr>
        <w:t>”</w:t>
      </w:r>
      <w:r>
        <w:rPr>
          <w:b/>
          <w:bCs/>
          <w:color w:val="000000"/>
        </w:rPr>
        <w:t xml:space="preserve"> и </w:t>
      </w:r>
      <w:r w:rsidRPr="005E3FBE">
        <w:rPr>
          <w:b/>
          <w:bCs/>
          <w:color w:val="000000"/>
          <w:lang w:val="ru-RU"/>
        </w:rPr>
        <w:t>“</w:t>
      </w:r>
      <w:r>
        <w:rPr>
          <w:b/>
          <w:bCs/>
          <w:color w:val="000000"/>
          <w:lang w:val="ru-RU"/>
        </w:rPr>
        <w:t>4</w:t>
      </w:r>
      <w:r w:rsidRPr="005E3FBE">
        <w:rPr>
          <w:b/>
          <w:bCs/>
          <w:color w:val="000000"/>
          <w:lang w:val="ru-RU"/>
        </w:rPr>
        <w:t>”</w:t>
      </w:r>
      <w:r>
        <w:rPr>
          <w:b/>
          <w:bCs/>
          <w:color w:val="000000"/>
          <w:lang w:val="ru-RU"/>
        </w:rPr>
        <w:t xml:space="preserve"> </w:t>
      </w:r>
      <w:r w:rsidRPr="005E3FBE">
        <w:rPr>
          <w:b/>
          <w:bCs/>
          <w:color w:val="000000"/>
          <w:lang w:val="ru-RU"/>
        </w:rPr>
        <w:t>“</w:t>
      </w:r>
      <w:r>
        <w:rPr>
          <w:b/>
          <w:bCs/>
          <w:color w:val="000000"/>
          <w:lang w:val="ru-RU"/>
        </w:rPr>
        <w:t>много добри</w:t>
      </w:r>
      <w:r w:rsidRPr="005E3FBE">
        <w:rPr>
          <w:b/>
          <w:bCs/>
          <w:color w:val="000000"/>
          <w:lang w:val="ru-RU"/>
        </w:rPr>
        <w:t>”</w:t>
      </w:r>
      <w:r>
        <w:rPr>
          <w:b/>
          <w:bCs/>
          <w:color w:val="000000"/>
        </w:rPr>
        <w:t>, България и ЕС, 2011-2012</w:t>
      </w:r>
      <w:r w:rsidRPr="005E3FBE">
        <w:rPr>
          <w:b/>
          <w:bCs/>
          <w:color w:val="000000"/>
          <w:lang w:val="ru-RU"/>
        </w:rPr>
        <w:t>)</w:t>
      </w:r>
    </w:p>
    <w:p w:rsidR="003A08D1" w:rsidRPr="005E3FBE" w:rsidRDefault="003A08D1" w:rsidP="00A655C9">
      <w:pPr>
        <w:shd w:val="clear" w:color="auto" w:fill="FFFFFF"/>
        <w:ind w:left="227" w:right="227" w:firstLine="709"/>
        <w:jc w:val="both"/>
        <w:rPr>
          <w:b/>
          <w:bCs/>
          <w:color w:val="000000"/>
          <w:lang w:val="ru-RU"/>
        </w:rPr>
      </w:pPr>
    </w:p>
    <w:p w:rsidR="003A08D1" w:rsidRDefault="003A08D1" w:rsidP="00A655C9">
      <w:pPr>
        <w:tabs>
          <w:tab w:val="left" w:pos="2235"/>
        </w:tabs>
        <w:ind w:left="227" w:right="227" w:firstLine="133"/>
        <w:jc w:val="both"/>
      </w:pPr>
      <w:r>
        <w:pict>
          <v:shape id="_x0000_i1059" type="#_x0000_t75" style="width:319.5pt;height:264.75pt">
            <v:imagedata r:id="rId48" o:title=""/>
          </v:shape>
        </w:pict>
      </w:r>
    </w:p>
    <w:p w:rsidR="003A08D1" w:rsidRDefault="003A08D1" w:rsidP="00A655C9">
      <w:pPr>
        <w:autoSpaceDE w:val="0"/>
        <w:autoSpaceDN w:val="0"/>
        <w:adjustRightInd w:val="0"/>
        <w:ind w:left="227" w:right="227" w:firstLine="709"/>
        <w:jc w:val="both"/>
        <w:rPr>
          <w:lang w:val="ru-RU"/>
        </w:rPr>
      </w:pPr>
      <w:r>
        <w:rPr>
          <w:rFonts w:cs="ArialMT"/>
        </w:rPr>
        <w:t>Данните за у</w:t>
      </w:r>
      <w:r w:rsidRPr="00580693">
        <w:rPr>
          <w:rFonts w:cs="ArialMT"/>
        </w:rPr>
        <w:t>вереността на учителите в осми клас</w:t>
      </w:r>
      <w:r w:rsidRPr="00580693">
        <w:t xml:space="preserve"> </w:t>
      </w:r>
      <w:r>
        <w:t xml:space="preserve">в техните работни ИКТ умения поставя България в средната група страни, точно под средното европейско ниво </w:t>
      </w:r>
      <w:r w:rsidRPr="00580693">
        <w:rPr>
          <w:lang w:val="ru-RU"/>
        </w:rPr>
        <w:t>(</w:t>
      </w:r>
      <w:r>
        <w:rPr>
          <w:lang w:val="ru-RU"/>
        </w:rPr>
        <w:t>фиг. 4.1е</w:t>
      </w:r>
      <w:r w:rsidRPr="00580693">
        <w:rPr>
          <w:lang w:val="ru-RU"/>
        </w:rPr>
        <w:t>)</w:t>
      </w:r>
      <w:r>
        <w:t xml:space="preserve">. В останалите степени, България се класира: в първите десет страни при 11 профилиран клас, в средната група страни при четвърти клас </w:t>
      </w:r>
      <w:r w:rsidRPr="00DC6F8E">
        <w:rPr>
          <w:lang w:val="ru-RU"/>
        </w:rPr>
        <w:t>(</w:t>
      </w:r>
      <w:r>
        <w:rPr>
          <w:lang w:val="ru-RU"/>
        </w:rPr>
        <w:t>над средното европейско ниво</w:t>
      </w:r>
      <w:r w:rsidRPr="00DC6F8E">
        <w:rPr>
          <w:lang w:val="ru-RU"/>
        </w:rPr>
        <w:t>)</w:t>
      </w:r>
      <w:r>
        <w:rPr>
          <w:lang w:val="ru-RU"/>
        </w:rPr>
        <w:t xml:space="preserve"> и последните шест страни при 11 общообразователен клас</w:t>
      </w:r>
      <w:r w:rsidRPr="00983B93">
        <w:rPr>
          <w:lang w:val="ru-RU"/>
        </w:rPr>
        <w:t xml:space="preserve"> </w:t>
      </w:r>
      <w:r w:rsidRPr="00236316">
        <w:rPr>
          <w:lang w:val="ru-RU"/>
        </w:rPr>
        <w:t xml:space="preserve">(фиг. </w:t>
      </w:r>
      <w:r w:rsidRPr="00DC6F8E">
        <w:rPr>
          <w:lang w:val="ru-RU"/>
        </w:rPr>
        <w:t>4</w:t>
      </w:r>
      <w:r w:rsidRPr="00236316">
        <w:rPr>
          <w:lang w:val="ru-RU"/>
        </w:rPr>
        <w:t>.</w:t>
      </w:r>
      <w:r w:rsidRPr="00DC6F8E">
        <w:rPr>
          <w:lang w:val="ru-RU"/>
        </w:rPr>
        <w:t>13</w:t>
      </w:r>
      <w:r>
        <w:rPr>
          <w:lang w:val="ru-RU"/>
        </w:rPr>
        <w:t xml:space="preserve"> от основния Доклад)</w:t>
      </w:r>
      <w:r w:rsidRPr="00E368A4">
        <w:rPr>
          <w:lang w:val="ru-RU"/>
        </w:rPr>
        <w:t>.</w:t>
      </w:r>
    </w:p>
    <w:p w:rsidR="003A08D1" w:rsidRPr="008733DC" w:rsidRDefault="003A08D1" w:rsidP="00A655C9">
      <w:pPr>
        <w:autoSpaceDE w:val="0"/>
        <w:autoSpaceDN w:val="0"/>
        <w:adjustRightInd w:val="0"/>
        <w:ind w:left="227" w:right="227" w:firstLine="709"/>
        <w:jc w:val="both"/>
        <w:rPr>
          <w:rFonts w:cs="ArialMT"/>
          <w:b/>
        </w:rPr>
      </w:pPr>
      <w:r w:rsidRPr="008733DC">
        <w:rPr>
          <w:rFonts w:cs="ArialMT"/>
          <w:b/>
        </w:rPr>
        <w:t>Ученици</w:t>
      </w:r>
    </w:p>
    <w:p w:rsidR="003A08D1" w:rsidRDefault="003A08D1" w:rsidP="00A655C9">
      <w:pPr>
        <w:autoSpaceDE w:val="0"/>
        <w:autoSpaceDN w:val="0"/>
        <w:adjustRightInd w:val="0"/>
        <w:ind w:left="227" w:right="227" w:firstLine="709"/>
        <w:jc w:val="both"/>
        <w:rPr>
          <w:rFonts w:cs="ArialMT"/>
        </w:rPr>
      </w:pPr>
      <w:r>
        <w:rPr>
          <w:rFonts w:cs="ArialMT"/>
        </w:rPr>
        <w:t>В България увереността на учениците от всички степени в техните виртуални социални и работните им ИКТ умения е под средното ниво за ЕС.</w:t>
      </w:r>
    </w:p>
    <w:p w:rsidR="003A08D1" w:rsidRPr="005E3FBE" w:rsidRDefault="003A08D1" w:rsidP="00A655C9">
      <w:pPr>
        <w:shd w:val="clear" w:color="auto" w:fill="FFFFFF"/>
        <w:ind w:left="227" w:right="227" w:firstLine="709"/>
        <w:jc w:val="both"/>
        <w:rPr>
          <w:b/>
          <w:bCs/>
          <w:color w:val="000000"/>
          <w:lang w:val="ru-RU"/>
        </w:rPr>
      </w:pPr>
      <w:r>
        <w:rPr>
          <w:b/>
          <w:bCs/>
          <w:color w:val="000000"/>
        </w:rPr>
        <w:t>Фиг. 4.</w:t>
      </w:r>
      <w:r w:rsidRPr="00A80598">
        <w:rPr>
          <w:b/>
          <w:bCs/>
          <w:color w:val="000000"/>
          <w:lang w:val="ru-RU"/>
        </w:rPr>
        <w:t>2</w:t>
      </w:r>
      <w:r w:rsidRPr="00DC6F8E">
        <w:rPr>
          <w:b/>
          <w:bCs/>
          <w:color w:val="000000"/>
          <w:lang w:val="ru-RU"/>
        </w:rPr>
        <w:t xml:space="preserve">: </w:t>
      </w:r>
      <w:r>
        <w:rPr>
          <w:b/>
          <w:bCs/>
          <w:color w:val="000000"/>
        </w:rPr>
        <w:t xml:space="preserve">Самоувереност на учениците в ИКТ уменията им </w:t>
      </w:r>
      <w:r w:rsidRPr="005E3FBE">
        <w:rPr>
          <w:b/>
          <w:bCs/>
          <w:color w:val="000000"/>
          <w:lang w:val="ru-RU"/>
        </w:rPr>
        <w:t>(</w:t>
      </w:r>
      <w:r>
        <w:rPr>
          <w:b/>
          <w:bCs/>
          <w:color w:val="000000"/>
        </w:rPr>
        <w:t xml:space="preserve">по класове, среден резултат от учениците – като </w:t>
      </w:r>
      <w:r w:rsidRPr="005E3FBE">
        <w:rPr>
          <w:b/>
          <w:bCs/>
          <w:color w:val="000000"/>
          <w:lang w:val="ru-RU"/>
        </w:rPr>
        <w:t>“</w:t>
      </w:r>
      <w:r>
        <w:rPr>
          <w:b/>
          <w:bCs/>
          <w:color w:val="000000"/>
        </w:rPr>
        <w:t>1</w:t>
      </w:r>
      <w:r w:rsidRPr="005E3FBE">
        <w:rPr>
          <w:b/>
          <w:bCs/>
          <w:color w:val="000000"/>
          <w:lang w:val="ru-RU"/>
        </w:rPr>
        <w:t>”</w:t>
      </w:r>
      <w:r>
        <w:rPr>
          <w:b/>
          <w:bCs/>
          <w:color w:val="000000"/>
        </w:rPr>
        <w:t xml:space="preserve"> </w:t>
      </w:r>
      <w:r>
        <w:rPr>
          <w:b/>
          <w:bCs/>
          <w:color w:val="000000"/>
          <w:lang w:val="en-US"/>
        </w:rPr>
        <w:t>e</w:t>
      </w:r>
      <w:r w:rsidRPr="005E3FBE">
        <w:rPr>
          <w:b/>
          <w:bCs/>
          <w:color w:val="000000"/>
          <w:lang w:val="ru-RU"/>
        </w:rPr>
        <w:t xml:space="preserve"> “</w:t>
      </w:r>
      <w:r>
        <w:rPr>
          <w:b/>
          <w:bCs/>
          <w:color w:val="000000"/>
        </w:rPr>
        <w:t>никакви</w:t>
      </w:r>
      <w:r w:rsidRPr="005E3FBE">
        <w:rPr>
          <w:b/>
          <w:bCs/>
          <w:color w:val="000000"/>
          <w:lang w:val="ru-RU"/>
        </w:rPr>
        <w:t>”</w:t>
      </w:r>
      <w:r>
        <w:rPr>
          <w:b/>
          <w:bCs/>
          <w:color w:val="000000"/>
        </w:rPr>
        <w:t xml:space="preserve"> и </w:t>
      </w:r>
      <w:r w:rsidRPr="005E3FBE">
        <w:rPr>
          <w:b/>
          <w:bCs/>
          <w:color w:val="000000"/>
          <w:lang w:val="ru-RU"/>
        </w:rPr>
        <w:t>“</w:t>
      </w:r>
      <w:r>
        <w:rPr>
          <w:b/>
          <w:bCs/>
          <w:color w:val="000000"/>
          <w:lang w:val="ru-RU"/>
        </w:rPr>
        <w:t>4</w:t>
      </w:r>
      <w:r w:rsidRPr="005E3FBE">
        <w:rPr>
          <w:b/>
          <w:bCs/>
          <w:color w:val="000000"/>
          <w:lang w:val="ru-RU"/>
        </w:rPr>
        <w:t>”</w:t>
      </w:r>
      <w:r>
        <w:rPr>
          <w:b/>
          <w:bCs/>
          <w:color w:val="000000"/>
          <w:lang w:val="ru-RU"/>
        </w:rPr>
        <w:t xml:space="preserve"> </w:t>
      </w:r>
      <w:r w:rsidRPr="005E3FBE">
        <w:rPr>
          <w:b/>
          <w:bCs/>
          <w:color w:val="000000"/>
          <w:lang w:val="ru-RU"/>
        </w:rPr>
        <w:t>“</w:t>
      </w:r>
      <w:r>
        <w:rPr>
          <w:b/>
          <w:bCs/>
          <w:color w:val="000000"/>
          <w:lang w:val="ru-RU"/>
        </w:rPr>
        <w:t>много добри</w:t>
      </w:r>
      <w:r w:rsidRPr="005E3FBE">
        <w:rPr>
          <w:b/>
          <w:bCs/>
          <w:color w:val="000000"/>
          <w:lang w:val="ru-RU"/>
        </w:rPr>
        <w:t>”</w:t>
      </w:r>
      <w:r>
        <w:rPr>
          <w:b/>
          <w:bCs/>
          <w:color w:val="000000"/>
        </w:rPr>
        <w:t>, България и ЕС, 2011-2012</w:t>
      </w:r>
      <w:r w:rsidRPr="005E3FBE">
        <w:rPr>
          <w:b/>
          <w:bCs/>
          <w:color w:val="000000"/>
          <w:lang w:val="ru-RU"/>
        </w:rPr>
        <w:t>)</w:t>
      </w:r>
    </w:p>
    <w:p w:rsidR="003A08D1" w:rsidRPr="00EB7B29" w:rsidRDefault="003A08D1" w:rsidP="00A655C9">
      <w:pPr>
        <w:autoSpaceDE w:val="0"/>
        <w:autoSpaceDN w:val="0"/>
        <w:adjustRightInd w:val="0"/>
        <w:ind w:left="227" w:right="227" w:firstLine="709"/>
        <w:jc w:val="both"/>
        <w:rPr>
          <w:rFonts w:cs="ArialMT"/>
          <w:lang w:val="ru-RU"/>
        </w:rPr>
      </w:pPr>
    </w:p>
    <w:p w:rsidR="003A08D1" w:rsidRDefault="003A08D1" w:rsidP="00A655C9">
      <w:pPr>
        <w:autoSpaceDE w:val="0"/>
        <w:autoSpaceDN w:val="0"/>
        <w:adjustRightInd w:val="0"/>
        <w:ind w:left="227" w:right="227" w:firstLine="709"/>
        <w:jc w:val="both"/>
      </w:pPr>
      <w:r>
        <w:pict>
          <v:shape id="_x0000_i1060" type="#_x0000_t75" style="width:407.25pt;height:336.75pt">
            <v:imagedata r:id="rId49" o:title=""/>
          </v:shape>
        </w:pict>
      </w:r>
    </w:p>
    <w:p w:rsidR="003A08D1" w:rsidRPr="008733DC" w:rsidRDefault="003A08D1" w:rsidP="00A655C9">
      <w:pPr>
        <w:autoSpaceDE w:val="0"/>
        <w:autoSpaceDN w:val="0"/>
        <w:adjustRightInd w:val="0"/>
        <w:ind w:left="227" w:right="227" w:firstLine="709"/>
        <w:jc w:val="both"/>
        <w:rPr>
          <w:b/>
        </w:rPr>
      </w:pPr>
      <w:r w:rsidRPr="008733DC">
        <w:rPr>
          <w:b/>
        </w:rPr>
        <w:t>Мерки за подкрепа на училищата</w:t>
      </w:r>
    </w:p>
    <w:p w:rsidR="003A08D1" w:rsidRDefault="003A08D1" w:rsidP="00A655C9">
      <w:pPr>
        <w:tabs>
          <w:tab w:val="left" w:pos="1875"/>
        </w:tabs>
        <w:autoSpaceDE w:val="0"/>
        <w:autoSpaceDN w:val="0"/>
        <w:adjustRightInd w:val="0"/>
        <w:ind w:left="227" w:right="227" w:firstLine="709"/>
        <w:jc w:val="both"/>
        <w:rPr>
          <w:lang w:val="ru-RU"/>
        </w:rPr>
      </w:pPr>
      <w:r>
        <w:t xml:space="preserve">Като цяло учениците в България са в училища, в които са реализирани стратегии в сферата на ИКТ над средното европейското ниво </w:t>
      </w:r>
      <w:r w:rsidRPr="00236316">
        <w:rPr>
          <w:lang w:val="ru-RU"/>
        </w:rPr>
        <w:t xml:space="preserve">(фиг. </w:t>
      </w:r>
      <w:r>
        <w:rPr>
          <w:lang w:val="ru-RU"/>
        </w:rPr>
        <w:t>5</w:t>
      </w:r>
      <w:r w:rsidRPr="00236316">
        <w:rPr>
          <w:lang w:val="ru-RU"/>
        </w:rPr>
        <w:t>.</w:t>
      </w:r>
      <w:r>
        <w:rPr>
          <w:lang w:val="ru-RU"/>
        </w:rPr>
        <w:t xml:space="preserve">3 от основния Доклад), което извежда страната на едно от водещите места по този индикатор. Съществуват стратегии за подкрепа на сътрудничеството между учителите </w:t>
      </w:r>
      <w:r w:rsidRPr="00236316">
        <w:rPr>
          <w:lang w:val="ru-RU"/>
        </w:rPr>
        <w:t xml:space="preserve">(фиг. </w:t>
      </w:r>
      <w:r>
        <w:rPr>
          <w:lang w:val="ru-RU"/>
        </w:rPr>
        <w:t>5</w:t>
      </w:r>
      <w:r w:rsidRPr="00236316">
        <w:rPr>
          <w:lang w:val="ru-RU"/>
        </w:rPr>
        <w:t>.</w:t>
      </w:r>
      <w:r>
        <w:rPr>
          <w:lang w:val="ru-RU"/>
        </w:rPr>
        <w:t xml:space="preserve">7 от основния Доклад). България е във водещата група на страните що се отнася до стратегии за образованието, свързани с отговорно използване на Интернет и социалните мрежи </w:t>
      </w:r>
      <w:r w:rsidRPr="00236316">
        <w:rPr>
          <w:lang w:val="ru-RU"/>
        </w:rPr>
        <w:t xml:space="preserve">(фиг. </w:t>
      </w:r>
      <w:r>
        <w:rPr>
          <w:lang w:val="ru-RU"/>
        </w:rPr>
        <w:t>5</w:t>
      </w:r>
      <w:r w:rsidRPr="00236316">
        <w:rPr>
          <w:lang w:val="ru-RU"/>
        </w:rPr>
        <w:t>.</w:t>
      </w:r>
      <w:r>
        <w:rPr>
          <w:lang w:val="ru-RU"/>
        </w:rPr>
        <w:t xml:space="preserve">10 от основния Доклад), при единадесети общообразователен клас страната заема трето място. </w:t>
      </w:r>
    </w:p>
    <w:p w:rsidR="003A08D1" w:rsidRPr="00293F29" w:rsidRDefault="003A08D1" w:rsidP="00A655C9">
      <w:pPr>
        <w:tabs>
          <w:tab w:val="left" w:pos="1875"/>
        </w:tabs>
        <w:autoSpaceDE w:val="0"/>
        <w:autoSpaceDN w:val="0"/>
        <w:adjustRightInd w:val="0"/>
        <w:ind w:left="227" w:right="227" w:firstLine="709"/>
        <w:jc w:val="both"/>
      </w:pPr>
      <w:r>
        <w:rPr>
          <w:lang w:val="ru-RU"/>
        </w:rPr>
        <w:t>Принципно има ниско средно европейското ниво при процента на учениците, обучаващи се в училища с програми за управление на промяната във всички класове</w:t>
      </w:r>
      <w:r w:rsidRPr="00236316">
        <w:rPr>
          <w:lang w:val="ru-RU"/>
        </w:rPr>
        <w:t xml:space="preserve"> (фиг. </w:t>
      </w:r>
      <w:r>
        <w:rPr>
          <w:lang w:val="ru-RU"/>
        </w:rPr>
        <w:t>5</w:t>
      </w:r>
      <w:r w:rsidRPr="00236316">
        <w:rPr>
          <w:lang w:val="ru-RU"/>
        </w:rPr>
        <w:t>.</w:t>
      </w:r>
      <w:r>
        <w:rPr>
          <w:lang w:val="ru-RU"/>
        </w:rPr>
        <w:t>14 от основния Доклад), България се намира сред последните страни в тази класация и в средната група страни при четвърти клас.</w:t>
      </w:r>
    </w:p>
    <w:p w:rsidR="003A08D1" w:rsidRPr="008733DC" w:rsidRDefault="003A08D1" w:rsidP="00A655C9">
      <w:pPr>
        <w:shd w:val="clear" w:color="auto" w:fill="FFFFFF"/>
        <w:spacing w:before="158"/>
        <w:ind w:left="293"/>
        <w:rPr>
          <w:b/>
          <w:color w:val="000000"/>
          <w:spacing w:val="-1"/>
        </w:rPr>
      </w:pPr>
      <w:r w:rsidRPr="008733DC">
        <w:rPr>
          <w:b/>
          <w:color w:val="000000"/>
          <w:spacing w:val="-1"/>
        </w:rPr>
        <w:t>Училища, подкрепящи използването на ИКТ</w:t>
      </w:r>
    </w:p>
    <w:p w:rsidR="003A08D1" w:rsidRDefault="003A08D1" w:rsidP="00A655C9">
      <w:pPr>
        <w:shd w:val="clear" w:color="auto" w:fill="FFFFFF"/>
        <w:ind w:left="227" w:right="227" w:firstLine="709"/>
        <w:jc w:val="both"/>
        <w:rPr>
          <w:color w:val="000000"/>
        </w:rPr>
      </w:pPr>
      <w:r>
        <w:rPr>
          <w:color w:val="000000"/>
        </w:rPr>
        <w:t>Анализ на събраните данни в проучването за училищата: ИКТ и образованието предполагат че „училище, подкрепящо използването на ИКТ” развива силни конкретни подкрепящи мерки за това учителите да използват ИКТ в преподаването и обучението (ИКТ координатор, обучение на учителите и др.), съвместно със силни политики (документ за въвеждане на ИКТ в преподаването и обучението и/или в учебния предмет и др.). В България има високи нива на учениците в „училища, подкрепящо използването на ИКТ” във всички класове, особено в 4-ти клас. Относително ниските проценти на учениците в училища със слаба политика и слаба подкрепа и ниски нива на слаба политика и силна подкрепа във всички класове (с изключение на 8-ми клас) навеждат на извода, че проблемът е свързан повече с нивото на ресурсите, а не толкова с политиките.</w:t>
      </w:r>
    </w:p>
    <w:p w:rsidR="003A08D1" w:rsidRDefault="003A08D1" w:rsidP="00A655C9">
      <w:pPr>
        <w:spacing w:before="77"/>
      </w:pPr>
      <w:r>
        <w:pict>
          <v:shape id="_x0000_i1061" type="#_x0000_t75" style="width:488.25pt;height:187.5pt">
            <v:imagedata r:id="rId50" o:title=""/>
          </v:shape>
        </w:pict>
      </w:r>
    </w:p>
    <w:p w:rsidR="003A08D1" w:rsidRPr="00C32106" w:rsidRDefault="003A08D1" w:rsidP="00A655C9">
      <w:pPr>
        <w:shd w:val="clear" w:color="auto" w:fill="FFFFFF"/>
        <w:spacing w:before="274" w:line="264" w:lineRule="exact"/>
        <w:ind w:left="451"/>
        <w:jc w:val="both"/>
        <w:rPr>
          <w:b/>
          <w:color w:val="000000"/>
          <w:spacing w:val="1"/>
        </w:rPr>
      </w:pPr>
      <w:r w:rsidRPr="00C32106">
        <w:rPr>
          <w:b/>
          <w:color w:val="000000"/>
          <w:spacing w:val="1"/>
        </w:rPr>
        <w:t>Училищ</w:t>
      </w:r>
      <w:r>
        <w:rPr>
          <w:b/>
          <w:color w:val="000000"/>
          <w:spacing w:val="1"/>
        </w:rPr>
        <w:t>а</w:t>
      </w:r>
      <w:r w:rsidRPr="00C32106">
        <w:rPr>
          <w:b/>
          <w:color w:val="000000"/>
          <w:spacing w:val="1"/>
        </w:rPr>
        <w:t>, оборудван</w:t>
      </w:r>
      <w:r>
        <w:rPr>
          <w:b/>
          <w:color w:val="000000"/>
          <w:spacing w:val="1"/>
        </w:rPr>
        <w:t>и</w:t>
      </w:r>
      <w:r w:rsidRPr="00C32106">
        <w:rPr>
          <w:b/>
          <w:color w:val="000000"/>
          <w:spacing w:val="1"/>
        </w:rPr>
        <w:t xml:space="preserve"> с ИКТ</w:t>
      </w:r>
    </w:p>
    <w:p w:rsidR="003A08D1" w:rsidRDefault="003A08D1" w:rsidP="00A655C9">
      <w:pPr>
        <w:shd w:val="clear" w:color="auto" w:fill="FFFFFF"/>
        <w:ind w:left="227" w:right="227" w:firstLine="709"/>
        <w:jc w:val="both"/>
        <w:rPr>
          <w:color w:val="000000"/>
          <w:spacing w:val="1"/>
        </w:rPr>
      </w:pPr>
      <w:r>
        <w:rPr>
          <w:color w:val="000000"/>
          <w:spacing w:val="1"/>
        </w:rPr>
        <w:t>„Училище, оборудвано с ИКТ” е добре оборудвано училище, което има бърз широколентов Интернет (над 10</w:t>
      </w:r>
      <w:r>
        <w:rPr>
          <w:color w:val="000000"/>
          <w:spacing w:val="1"/>
          <w:lang w:val="en-US"/>
        </w:rPr>
        <w:t>Mbps</w:t>
      </w:r>
      <w:r w:rsidRPr="006B2565">
        <w:rPr>
          <w:color w:val="000000"/>
          <w:spacing w:val="1"/>
        </w:rPr>
        <w:t>)</w:t>
      </w:r>
      <w:r>
        <w:rPr>
          <w:color w:val="000000"/>
          <w:spacing w:val="1"/>
        </w:rPr>
        <w:t xml:space="preserve"> и е „свързано” (т.е. има поне едно от: сайт, електронни пощи за учителите и учениците, локална мрежа, виртуална среда за обучение). Анализът на данните показват 3 типа/групи на училища по тези мерки:</w:t>
      </w:r>
    </w:p>
    <w:p w:rsidR="003A08D1" w:rsidRDefault="003A08D1" w:rsidP="00A655C9">
      <w:pPr>
        <w:widowControl w:val="0"/>
        <w:numPr>
          <w:ilvl w:val="0"/>
          <w:numId w:val="4"/>
        </w:numPr>
        <w:shd w:val="clear" w:color="auto" w:fill="FFFFFF"/>
        <w:autoSpaceDE w:val="0"/>
        <w:autoSpaceDN w:val="0"/>
        <w:adjustRightInd w:val="0"/>
        <w:ind w:left="227" w:right="227" w:firstLine="709"/>
        <w:jc w:val="both"/>
        <w:rPr>
          <w:color w:val="000000"/>
          <w:spacing w:val="1"/>
        </w:rPr>
      </w:pPr>
      <w:r>
        <w:rPr>
          <w:color w:val="000000"/>
          <w:spacing w:val="1"/>
        </w:rPr>
        <w:t>Тип 1: Високо цифрово оборудвани училища, характеризиращи се с относително високо ниво на оборудване, бърз широколентов Интернет и относително висока свързаност;</w:t>
      </w:r>
    </w:p>
    <w:p w:rsidR="003A08D1" w:rsidRDefault="003A08D1" w:rsidP="00A655C9">
      <w:pPr>
        <w:widowControl w:val="0"/>
        <w:numPr>
          <w:ilvl w:val="0"/>
          <w:numId w:val="4"/>
        </w:numPr>
        <w:shd w:val="clear" w:color="auto" w:fill="FFFFFF"/>
        <w:autoSpaceDE w:val="0"/>
        <w:autoSpaceDN w:val="0"/>
        <w:adjustRightInd w:val="0"/>
        <w:ind w:left="227" w:right="227" w:firstLine="709"/>
        <w:jc w:val="both"/>
        <w:rPr>
          <w:color w:val="000000"/>
          <w:lang w:val="ru-RU"/>
        </w:rPr>
      </w:pPr>
      <w:r>
        <w:rPr>
          <w:color w:val="000000"/>
          <w:spacing w:val="1"/>
        </w:rPr>
        <w:t xml:space="preserve">Тип 2: Частично цифрово оборудвани училища, с по-ниско от Тип 1 ниво на оборудване, слаб (по-малко от </w:t>
      </w:r>
      <w:r w:rsidRPr="00324209">
        <w:rPr>
          <w:color w:val="000000"/>
          <w:lang w:val="ru-RU"/>
        </w:rPr>
        <w:t>10</w:t>
      </w:r>
      <w:r>
        <w:rPr>
          <w:color w:val="000000"/>
          <w:lang w:val="en-US"/>
        </w:rPr>
        <w:t>Mbps</w:t>
      </w:r>
      <w:r w:rsidRPr="00324209">
        <w:rPr>
          <w:color w:val="000000"/>
          <w:lang w:val="ru-RU"/>
        </w:rPr>
        <w:t>)</w:t>
      </w:r>
      <w:r>
        <w:rPr>
          <w:color w:val="000000"/>
          <w:lang w:val="ru-RU"/>
        </w:rPr>
        <w:t xml:space="preserve"> или липсващ широколентов Интернет и малка свързаност;</w:t>
      </w:r>
    </w:p>
    <w:p w:rsidR="003A08D1" w:rsidRDefault="003A08D1" w:rsidP="00A655C9">
      <w:pPr>
        <w:widowControl w:val="0"/>
        <w:numPr>
          <w:ilvl w:val="0"/>
          <w:numId w:val="4"/>
        </w:numPr>
        <w:shd w:val="clear" w:color="auto" w:fill="FFFFFF"/>
        <w:autoSpaceDE w:val="0"/>
        <w:autoSpaceDN w:val="0"/>
        <w:adjustRightInd w:val="0"/>
        <w:ind w:left="227" w:right="227" w:firstLine="709"/>
        <w:jc w:val="both"/>
        <w:rPr>
          <w:color w:val="000000"/>
          <w:spacing w:val="1"/>
        </w:rPr>
      </w:pPr>
      <w:r>
        <w:rPr>
          <w:color w:val="000000"/>
          <w:lang w:val="ru-RU"/>
        </w:rPr>
        <w:t>Тип 3: Както тип 2, но няма свързаност.</w:t>
      </w:r>
    </w:p>
    <w:p w:rsidR="003A08D1" w:rsidRDefault="003A08D1" w:rsidP="00A655C9">
      <w:pPr>
        <w:shd w:val="clear" w:color="auto" w:fill="FFFFFF"/>
        <w:ind w:left="227" w:right="227" w:firstLine="709"/>
        <w:jc w:val="both"/>
      </w:pPr>
      <w:r>
        <w:rPr>
          <w:color w:val="000000"/>
          <w:spacing w:val="1"/>
        </w:rPr>
        <w:t>В България, само в 11-ти професионален клас процентите на учениците от училища Тип 1 са над средните за ЕС.</w:t>
      </w:r>
      <w:r w:rsidRPr="00596E31">
        <w:t xml:space="preserve"> </w:t>
      </w:r>
    </w:p>
    <w:p w:rsidR="003A08D1" w:rsidRDefault="003A08D1" w:rsidP="00A655C9">
      <w:pPr>
        <w:shd w:val="clear" w:color="auto" w:fill="FFFFFF"/>
        <w:ind w:left="227" w:right="227" w:firstLine="709"/>
        <w:jc w:val="both"/>
      </w:pPr>
    </w:p>
    <w:p w:rsidR="003A08D1" w:rsidRDefault="003A08D1" w:rsidP="002D258C">
      <w:pPr>
        <w:shd w:val="clear" w:color="auto" w:fill="FFFFFF"/>
        <w:ind w:left="227" w:right="227" w:firstLine="709"/>
        <w:jc w:val="both"/>
      </w:pPr>
      <w:r>
        <w:pict>
          <v:shape id="_x0000_i1062" type="#_x0000_t75" style="width:408pt;height:234pt">
            <v:imagedata r:id="rId51" o:title=""/>
          </v:shape>
        </w:pict>
      </w:r>
    </w:p>
    <w:p w:rsidR="003A08D1" w:rsidRPr="002064EE" w:rsidRDefault="003A08D1" w:rsidP="002D258C">
      <w:pPr>
        <w:shd w:val="clear" w:color="auto" w:fill="FFFFFF"/>
        <w:ind w:left="227" w:right="227" w:firstLine="709"/>
        <w:jc w:val="both"/>
      </w:pPr>
    </w:p>
    <w:sectPr w:rsidR="003A08D1" w:rsidRPr="002064EE" w:rsidSect="002D258C">
      <w:footerReference w:type="default" r:id="rId52"/>
      <w:pgSz w:w="11909" w:h="16834"/>
      <w:pgMar w:top="1430" w:right="1059" w:bottom="360" w:left="1092" w:header="708" w:footer="708" w:gutter="0"/>
      <w:cols w:space="60"/>
      <w:noEndnote/>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A08D1" w:rsidRDefault="003A08D1" w:rsidP="00687F07">
      <w:r>
        <w:separator/>
      </w:r>
    </w:p>
  </w:endnote>
  <w:endnote w:type="continuationSeparator" w:id="1">
    <w:p w:rsidR="003A08D1" w:rsidRDefault="003A08D1" w:rsidP="00687F07">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A00002EF" w:usb1="4000004B" w:usb2="00000000" w:usb3="00000000" w:csb0="0000009F"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Cambria Math">
    <w:panose1 w:val="02040503050406030204"/>
    <w:charset w:val="CC"/>
    <w:family w:val="roman"/>
    <w:pitch w:val="variable"/>
    <w:sig w:usb0="A00002EF" w:usb1="420020EB" w:usb2="00000000" w:usb3="00000000" w:csb0="0000009F" w:csb1="00000000"/>
  </w:font>
  <w:font w:name="ArialMT">
    <w:altName w:val="Arial"/>
    <w:panose1 w:val="00000000000000000000"/>
    <w:charset w:val="00"/>
    <w:family w:val="swiss"/>
    <w:notTrueType/>
    <w:pitch w:val="default"/>
    <w:sig w:usb0="00000003" w:usb1="00000000" w:usb2="00000000" w:usb3="00000000" w:csb0="00000001" w:csb1="00000000"/>
  </w:font>
  <w:font w:name="Viner Hand ITC">
    <w:altName w:val="Papyrus"/>
    <w:panose1 w:val="00000000000000000000"/>
    <w:charset w:val="00"/>
    <w:family w:val="script"/>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08D1" w:rsidRDefault="003A08D1" w:rsidP="00A655C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3A08D1" w:rsidRDefault="003A08D1" w:rsidP="00A655C9">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08D1" w:rsidRDefault="003A08D1" w:rsidP="00A655C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rsidR="003A08D1" w:rsidRDefault="003A08D1" w:rsidP="00A655C9">
    <w:pPr>
      <w:pStyle w:val="Footer"/>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08D1" w:rsidRDefault="003A08D1">
    <w:pPr>
      <w:pStyle w:val="Footer"/>
      <w:jc w:val="right"/>
    </w:pPr>
    <w:fldSimple w:instr=" PAGE   \* MERGEFORMAT ">
      <w:r>
        <w:rPr>
          <w:noProof/>
        </w:rPr>
        <w:t>39</w:t>
      </w:r>
    </w:fldSimple>
  </w:p>
  <w:p w:rsidR="003A08D1" w:rsidRDefault="003A08D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A08D1" w:rsidRDefault="003A08D1" w:rsidP="00687F07">
      <w:r>
        <w:separator/>
      </w:r>
    </w:p>
  </w:footnote>
  <w:footnote w:type="continuationSeparator" w:id="1">
    <w:p w:rsidR="003A08D1" w:rsidRDefault="003A08D1" w:rsidP="00687F07">
      <w:r>
        <w:continuationSeparator/>
      </w:r>
    </w:p>
  </w:footnote>
  <w:footnote w:id="2">
    <w:p w:rsidR="003A08D1" w:rsidRDefault="003A08D1" w:rsidP="009E1284"/>
  </w:footnote>
  <w:footnote w:id="3">
    <w:p w:rsidR="003A08D1" w:rsidRDefault="003A08D1" w:rsidP="00A655C9">
      <w:pPr>
        <w:pStyle w:val="FootnoteText"/>
        <w:ind w:hanging="11"/>
      </w:pPr>
      <w:r>
        <w:rPr>
          <w:rStyle w:val="FootnoteReference"/>
        </w:rPr>
        <w:footnoteRef/>
      </w:r>
      <w:r w:rsidRPr="00E90C55">
        <w:rPr>
          <w:lang w:val="ru-RU"/>
        </w:rPr>
        <w:t xml:space="preserve"> </w:t>
      </w:r>
      <w:r>
        <w:t>Според Eurostat</w:t>
      </w:r>
      <w:r w:rsidRPr="00E90C55">
        <w:rPr>
          <w:lang w:val="ru-RU"/>
        </w:rPr>
        <w:t xml:space="preserve"> 76% </w:t>
      </w:r>
      <w:r>
        <w:t xml:space="preserve">от домакинствата с поне един член между </w:t>
      </w:r>
      <w:r w:rsidRPr="00E90C55">
        <w:rPr>
          <w:lang w:val="ru-RU"/>
        </w:rPr>
        <w:t xml:space="preserve">16-74 </w:t>
      </w:r>
      <w:r>
        <w:t>години в ЕС през 2012 г. са имали достъп до интернет</w:t>
      </w:r>
      <w:r w:rsidRPr="00E90C55">
        <w:rPr>
          <w:lang w:val="ru-RU"/>
        </w:rPr>
        <w:t>.</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6C2A17"/>
    <w:multiLevelType w:val="hybridMultilevel"/>
    <w:tmpl w:val="DBE20C44"/>
    <w:lvl w:ilvl="0" w:tplc="04020001">
      <w:start w:val="1"/>
      <w:numFmt w:val="bullet"/>
      <w:lvlText w:val=""/>
      <w:lvlJc w:val="left"/>
      <w:pPr>
        <w:tabs>
          <w:tab w:val="num" w:pos="1171"/>
        </w:tabs>
        <w:ind w:left="1171" w:hanging="360"/>
      </w:pPr>
      <w:rPr>
        <w:rFonts w:ascii="Symbol" w:hAnsi="Symbol" w:hint="default"/>
      </w:rPr>
    </w:lvl>
    <w:lvl w:ilvl="1" w:tplc="04020003" w:tentative="1">
      <w:start w:val="1"/>
      <w:numFmt w:val="bullet"/>
      <w:lvlText w:val="o"/>
      <w:lvlJc w:val="left"/>
      <w:pPr>
        <w:tabs>
          <w:tab w:val="num" w:pos="1891"/>
        </w:tabs>
        <w:ind w:left="1891" w:hanging="360"/>
      </w:pPr>
      <w:rPr>
        <w:rFonts w:ascii="Courier New" w:hAnsi="Courier New" w:hint="default"/>
      </w:rPr>
    </w:lvl>
    <w:lvl w:ilvl="2" w:tplc="04020005" w:tentative="1">
      <w:start w:val="1"/>
      <w:numFmt w:val="bullet"/>
      <w:lvlText w:val=""/>
      <w:lvlJc w:val="left"/>
      <w:pPr>
        <w:tabs>
          <w:tab w:val="num" w:pos="2611"/>
        </w:tabs>
        <w:ind w:left="2611" w:hanging="360"/>
      </w:pPr>
      <w:rPr>
        <w:rFonts w:ascii="Wingdings" w:hAnsi="Wingdings" w:hint="default"/>
      </w:rPr>
    </w:lvl>
    <w:lvl w:ilvl="3" w:tplc="04020001" w:tentative="1">
      <w:start w:val="1"/>
      <w:numFmt w:val="bullet"/>
      <w:lvlText w:val=""/>
      <w:lvlJc w:val="left"/>
      <w:pPr>
        <w:tabs>
          <w:tab w:val="num" w:pos="3331"/>
        </w:tabs>
        <w:ind w:left="3331" w:hanging="360"/>
      </w:pPr>
      <w:rPr>
        <w:rFonts w:ascii="Symbol" w:hAnsi="Symbol" w:hint="default"/>
      </w:rPr>
    </w:lvl>
    <w:lvl w:ilvl="4" w:tplc="04020003" w:tentative="1">
      <w:start w:val="1"/>
      <w:numFmt w:val="bullet"/>
      <w:lvlText w:val="o"/>
      <w:lvlJc w:val="left"/>
      <w:pPr>
        <w:tabs>
          <w:tab w:val="num" w:pos="4051"/>
        </w:tabs>
        <w:ind w:left="4051" w:hanging="360"/>
      </w:pPr>
      <w:rPr>
        <w:rFonts w:ascii="Courier New" w:hAnsi="Courier New" w:hint="default"/>
      </w:rPr>
    </w:lvl>
    <w:lvl w:ilvl="5" w:tplc="04020005" w:tentative="1">
      <w:start w:val="1"/>
      <w:numFmt w:val="bullet"/>
      <w:lvlText w:val=""/>
      <w:lvlJc w:val="left"/>
      <w:pPr>
        <w:tabs>
          <w:tab w:val="num" w:pos="4771"/>
        </w:tabs>
        <w:ind w:left="4771" w:hanging="360"/>
      </w:pPr>
      <w:rPr>
        <w:rFonts w:ascii="Wingdings" w:hAnsi="Wingdings" w:hint="default"/>
      </w:rPr>
    </w:lvl>
    <w:lvl w:ilvl="6" w:tplc="04020001" w:tentative="1">
      <w:start w:val="1"/>
      <w:numFmt w:val="bullet"/>
      <w:lvlText w:val=""/>
      <w:lvlJc w:val="left"/>
      <w:pPr>
        <w:tabs>
          <w:tab w:val="num" w:pos="5491"/>
        </w:tabs>
        <w:ind w:left="5491" w:hanging="360"/>
      </w:pPr>
      <w:rPr>
        <w:rFonts w:ascii="Symbol" w:hAnsi="Symbol" w:hint="default"/>
      </w:rPr>
    </w:lvl>
    <w:lvl w:ilvl="7" w:tplc="04020003" w:tentative="1">
      <w:start w:val="1"/>
      <w:numFmt w:val="bullet"/>
      <w:lvlText w:val="o"/>
      <w:lvlJc w:val="left"/>
      <w:pPr>
        <w:tabs>
          <w:tab w:val="num" w:pos="6211"/>
        </w:tabs>
        <w:ind w:left="6211" w:hanging="360"/>
      </w:pPr>
      <w:rPr>
        <w:rFonts w:ascii="Courier New" w:hAnsi="Courier New" w:hint="default"/>
      </w:rPr>
    </w:lvl>
    <w:lvl w:ilvl="8" w:tplc="04020005" w:tentative="1">
      <w:start w:val="1"/>
      <w:numFmt w:val="bullet"/>
      <w:lvlText w:val=""/>
      <w:lvlJc w:val="left"/>
      <w:pPr>
        <w:tabs>
          <w:tab w:val="num" w:pos="6931"/>
        </w:tabs>
        <w:ind w:left="6931" w:hanging="360"/>
      </w:pPr>
      <w:rPr>
        <w:rFonts w:ascii="Wingdings" w:hAnsi="Wingdings" w:hint="default"/>
      </w:rPr>
    </w:lvl>
  </w:abstractNum>
  <w:abstractNum w:abstractNumId="1">
    <w:nsid w:val="1E15494D"/>
    <w:multiLevelType w:val="hybridMultilevel"/>
    <w:tmpl w:val="297A776E"/>
    <w:lvl w:ilvl="0" w:tplc="04020001">
      <w:start w:val="1"/>
      <w:numFmt w:val="bullet"/>
      <w:lvlText w:val=""/>
      <w:lvlJc w:val="left"/>
      <w:pPr>
        <w:tabs>
          <w:tab w:val="num" w:pos="720"/>
        </w:tabs>
        <w:ind w:left="720" w:hanging="360"/>
      </w:pPr>
      <w:rPr>
        <w:rFonts w:ascii="Symbol" w:hAnsi="Symbol" w:hint="default"/>
      </w:rPr>
    </w:lvl>
    <w:lvl w:ilvl="1" w:tplc="0402000B">
      <w:start w:val="1"/>
      <w:numFmt w:val="bullet"/>
      <w:lvlText w:val=""/>
      <w:lvlJc w:val="left"/>
      <w:pPr>
        <w:tabs>
          <w:tab w:val="num" w:pos="1440"/>
        </w:tabs>
        <w:ind w:left="1440" w:hanging="360"/>
      </w:pPr>
      <w:rPr>
        <w:rFonts w:ascii="Wingdings" w:hAnsi="Wingdings"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2">
    <w:nsid w:val="64A12FA4"/>
    <w:multiLevelType w:val="multilevel"/>
    <w:tmpl w:val="B4E40FC6"/>
    <w:name w:val="0,9360119"/>
    <w:lvl w:ilvl="0">
      <w:start w:val="2"/>
      <w:numFmt w:val="decimal"/>
      <w:lvlRestart w:val="0"/>
      <w:pStyle w:val="Heading1"/>
      <w:lvlText w:val="%1."/>
      <w:lvlJc w:val="left"/>
      <w:pPr>
        <w:tabs>
          <w:tab w:val="num" w:pos="850"/>
        </w:tabs>
        <w:ind w:left="850" w:hanging="850"/>
      </w:pPr>
      <w:rPr>
        <w:rFonts w:cs="Times New Roman" w:hint="default"/>
      </w:rPr>
    </w:lvl>
    <w:lvl w:ilvl="1">
      <w:start w:val="1"/>
      <w:numFmt w:val="decimal"/>
      <w:pStyle w:val="Heading2"/>
      <w:lvlText w:val="%1.%2."/>
      <w:lvlJc w:val="left"/>
      <w:pPr>
        <w:tabs>
          <w:tab w:val="num" w:pos="850"/>
        </w:tabs>
        <w:ind w:left="850" w:hanging="850"/>
      </w:pPr>
      <w:rPr>
        <w:rFonts w:cs="Times New Roman" w:hint="default"/>
      </w:rPr>
    </w:lvl>
    <w:lvl w:ilvl="2">
      <w:start w:val="1"/>
      <w:numFmt w:val="decimal"/>
      <w:pStyle w:val="Heading3"/>
      <w:lvlText w:val="%1.%2.%3."/>
      <w:lvlJc w:val="left"/>
      <w:pPr>
        <w:tabs>
          <w:tab w:val="num" w:pos="850"/>
        </w:tabs>
        <w:ind w:left="850" w:hanging="850"/>
      </w:pPr>
      <w:rPr>
        <w:rFonts w:cs="Times New Roman" w:hint="default"/>
      </w:rPr>
    </w:lvl>
    <w:lvl w:ilvl="3">
      <w:start w:val="1"/>
      <w:numFmt w:val="decimal"/>
      <w:pStyle w:val="Heading4"/>
      <w:lvlText w:val="%1.%2.%3.%4."/>
      <w:lvlJc w:val="left"/>
      <w:pPr>
        <w:tabs>
          <w:tab w:val="num" w:pos="850"/>
        </w:tabs>
        <w:ind w:left="850" w:hanging="850"/>
      </w:pPr>
      <w:rPr>
        <w:rFonts w:cs="Times New Roman" w:hint="default"/>
      </w:rPr>
    </w:lvl>
    <w:lvl w:ilvl="4">
      <w:start w:val="1"/>
      <w:numFmt w:val="lowerLetter"/>
      <w:lvlText w:val="(%5)"/>
      <w:lvlJc w:val="left"/>
      <w:pPr>
        <w:tabs>
          <w:tab w:val="num" w:pos="1800"/>
        </w:tabs>
        <w:ind w:left="1800" w:hanging="360"/>
      </w:pPr>
      <w:rPr>
        <w:rFonts w:cs="Times New Roman" w:hint="default"/>
      </w:rPr>
    </w:lvl>
    <w:lvl w:ilvl="5">
      <w:start w:val="1"/>
      <w:numFmt w:val="lowerRoman"/>
      <w:lvlText w:val="(%6)"/>
      <w:lvlJc w:val="left"/>
      <w:pPr>
        <w:tabs>
          <w:tab w:val="num" w:pos="2160"/>
        </w:tabs>
        <w:ind w:left="2160" w:hanging="360"/>
      </w:pPr>
      <w:rPr>
        <w:rFonts w:cs="Times New Roman" w:hint="default"/>
      </w:rPr>
    </w:lvl>
    <w:lvl w:ilvl="6">
      <w:start w:val="1"/>
      <w:numFmt w:val="decimal"/>
      <w:lvlText w:val="%7."/>
      <w:lvlJc w:val="left"/>
      <w:pPr>
        <w:tabs>
          <w:tab w:val="num" w:pos="2520"/>
        </w:tabs>
        <w:ind w:left="2520" w:hanging="360"/>
      </w:pPr>
      <w:rPr>
        <w:rFonts w:cs="Times New Roman" w:hint="default"/>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abstractNum w:abstractNumId="3">
    <w:nsid w:val="7C9D6832"/>
    <w:multiLevelType w:val="hybridMultilevel"/>
    <w:tmpl w:val="F1F025EA"/>
    <w:lvl w:ilvl="0" w:tplc="02141612">
      <w:start w:val="2"/>
      <w:numFmt w:val="decimal"/>
      <w:lvlText w:val="%1."/>
      <w:lvlJc w:val="left"/>
      <w:pPr>
        <w:tabs>
          <w:tab w:val="num" w:pos="720"/>
        </w:tabs>
        <w:ind w:left="720" w:hanging="360"/>
      </w:pPr>
      <w:rPr>
        <w:rFonts w:cs="Times New Roman" w:hint="default"/>
        <w:sz w:val="23"/>
      </w:rPr>
    </w:lvl>
    <w:lvl w:ilvl="1" w:tplc="04020019" w:tentative="1">
      <w:start w:val="1"/>
      <w:numFmt w:val="lowerLetter"/>
      <w:lvlText w:val="%2."/>
      <w:lvlJc w:val="left"/>
      <w:pPr>
        <w:tabs>
          <w:tab w:val="num" w:pos="1440"/>
        </w:tabs>
        <w:ind w:left="1440" w:hanging="360"/>
      </w:pPr>
      <w:rPr>
        <w:rFonts w:cs="Times New Roman"/>
      </w:rPr>
    </w:lvl>
    <w:lvl w:ilvl="2" w:tplc="0402001B" w:tentative="1">
      <w:start w:val="1"/>
      <w:numFmt w:val="lowerRoman"/>
      <w:lvlText w:val="%3."/>
      <w:lvlJc w:val="right"/>
      <w:pPr>
        <w:tabs>
          <w:tab w:val="num" w:pos="2160"/>
        </w:tabs>
        <w:ind w:left="2160" w:hanging="180"/>
      </w:pPr>
      <w:rPr>
        <w:rFonts w:cs="Times New Roman"/>
      </w:rPr>
    </w:lvl>
    <w:lvl w:ilvl="3" w:tplc="0402000F" w:tentative="1">
      <w:start w:val="1"/>
      <w:numFmt w:val="decimal"/>
      <w:lvlText w:val="%4."/>
      <w:lvlJc w:val="left"/>
      <w:pPr>
        <w:tabs>
          <w:tab w:val="num" w:pos="2880"/>
        </w:tabs>
        <w:ind w:left="2880" w:hanging="360"/>
      </w:pPr>
      <w:rPr>
        <w:rFonts w:cs="Times New Roman"/>
      </w:rPr>
    </w:lvl>
    <w:lvl w:ilvl="4" w:tplc="04020019" w:tentative="1">
      <w:start w:val="1"/>
      <w:numFmt w:val="lowerLetter"/>
      <w:lvlText w:val="%5."/>
      <w:lvlJc w:val="left"/>
      <w:pPr>
        <w:tabs>
          <w:tab w:val="num" w:pos="3600"/>
        </w:tabs>
        <w:ind w:left="3600" w:hanging="360"/>
      </w:pPr>
      <w:rPr>
        <w:rFonts w:cs="Times New Roman"/>
      </w:rPr>
    </w:lvl>
    <w:lvl w:ilvl="5" w:tplc="0402001B" w:tentative="1">
      <w:start w:val="1"/>
      <w:numFmt w:val="lowerRoman"/>
      <w:lvlText w:val="%6."/>
      <w:lvlJc w:val="right"/>
      <w:pPr>
        <w:tabs>
          <w:tab w:val="num" w:pos="4320"/>
        </w:tabs>
        <w:ind w:left="4320" w:hanging="180"/>
      </w:pPr>
      <w:rPr>
        <w:rFonts w:cs="Times New Roman"/>
      </w:rPr>
    </w:lvl>
    <w:lvl w:ilvl="6" w:tplc="0402000F" w:tentative="1">
      <w:start w:val="1"/>
      <w:numFmt w:val="decimal"/>
      <w:lvlText w:val="%7."/>
      <w:lvlJc w:val="left"/>
      <w:pPr>
        <w:tabs>
          <w:tab w:val="num" w:pos="5040"/>
        </w:tabs>
        <w:ind w:left="5040" w:hanging="360"/>
      </w:pPr>
      <w:rPr>
        <w:rFonts w:cs="Times New Roman"/>
      </w:rPr>
    </w:lvl>
    <w:lvl w:ilvl="7" w:tplc="04020019" w:tentative="1">
      <w:start w:val="1"/>
      <w:numFmt w:val="lowerLetter"/>
      <w:lvlText w:val="%8."/>
      <w:lvlJc w:val="left"/>
      <w:pPr>
        <w:tabs>
          <w:tab w:val="num" w:pos="5760"/>
        </w:tabs>
        <w:ind w:left="5760" w:hanging="360"/>
      </w:pPr>
      <w:rPr>
        <w:rFonts w:cs="Times New Roman"/>
      </w:rPr>
    </w:lvl>
    <w:lvl w:ilvl="8" w:tplc="0402001B" w:tentative="1">
      <w:start w:val="1"/>
      <w:numFmt w:val="lowerRoman"/>
      <w:lvlText w:val="%9."/>
      <w:lvlJc w:val="right"/>
      <w:pPr>
        <w:tabs>
          <w:tab w:val="num" w:pos="6480"/>
        </w:tabs>
        <w:ind w:left="6480" w:hanging="180"/>
      </w:pPr>
      <w:rPr>
        <w:rFonts w:cs="Times New Roman"/>
      </w:rPr>
    </w:lvl>
  </w:abstractNum>
  <w:num w:numId="1">
    <w:abstractNumId w:val="3"/>
  </w:num>
  <w:num w:numId="2">
    <w:abstractNumId w:val="1"/>
  </w:num>
  <w:num w:numId="3">
    <w:abstractNumId w:val="2"/>
  </w:num>
  <w:num w:numId="4">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stylePaneFormatFilter w:val="3F01"/>
  <w:defaultTabStop w:val="708"/>
  <w:hyphenationZone w:val="425"/>
  <w:characterSpacingControl w:val="doNotCompres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5064D2"/>
    <w:rsid w:val="00000223"/>
    <w:rsid w:val="00001248"/>
    <w:rsid w:val="0000247A"/>
    <w:rsid w:val="00002925"/>
    <w:rsid w:val="00002BDE"/>
    <w:rsid w:val="000126BA"/>
    <w:rsid w:val="00015379"/>
    <w:rsid w:val="00017A06"/>
    <w:rsid w:val="000202AF"/>
    <w:rsid w:val="00021676"/>
    <w:rsid w:val="0002217A"/>
    <w:rsid w:val="000316FF"/>
    <w:rsid w:val="00031973"/>
    <w:rsid w:val="00032AB7"/>
    <w:rsid w:val="00033209"/>
    <w:rsid w:val="00033DC4"/>
    <w:rsid w:val="000341B6"/>
    <w:rsid w:val="000349B4"/>
    <w:rsid w:val="00036C1E"/>
    <w:rsid w:val="000402A3"/>
    <w:rsid w:val="0004040C"/>
    <w:rsid w:val="000420F9"/>
    <w:rsid w:val="00042F4C"/>
    <w:rsid w:val="00045373"/>
    <w:rsid w:val="0004607D"/>
    <w:rsid w:val="00052A24"/>
    <w:rsid w:val="000539B1"/>
    <w:rsid w:val="00055381"/>
    <w:rsid w:val="000553C1"/>
    <w:rsid w:val="0005593B"/>
    <w:rsid w:val="00057DD5"/>
    <w:rsid w:val="00065CC9"/>
    <w:rsid w:val="000663AD"/>
    <w:rsid w:val="000742A3"/>
    <w:rsid w:val="0007659E"/>
    <w:rsid w:val="000775E9"/>
    <w:rsid w:val="00077A50"/>
    <w:rsid w:val="00082FDE"/>
    <w:rsid w:val="00085642"/>
    <w:rsid w:val="000856B5"/>
    <w:rsid w:val="0008597B"/>
    <w:rsid w:val="000903C5"/>
    <w:rsid w:val="00091DE0"/>
    <w:rsid w:val="000920BA"/>
    <w:rsid w:val="00093FBA"/>
    <w:rsid w:val="000963D3"/>
    <w:rsid w:val="000A0AC8"/>
    <w:rsid w:val="000A7644"/>
    <w:rsid w:val="000B4C5D"/>
    <w:rsid w:val="000C0286"/>
    <w:rsid w:val="000C2891"/>
    <w:rsid w:val="000C33B9"/>
    <w:rsid w:val="000C77AF"/>
    <w:rsid w:val="000C7A82"/>
    <w:rsid w:val="000D00B3"/>
    <w:rsid w:val="000D1F20"/>
    <w:rsid w:val="000D3712"/>
    <w:rsid w:val="000E0D13"/>
    <w:rsid w:val="000E0EFF"/>
    <w:rsid w:val="000E231E"/>
    <w:rsid w:val="000E23F1"/>
    <w:rsid w:val="000E5380"/>
    <w:rsid w:val="000E53E7"/>
    <w:rsid w:val="000E6011"/>
    <w:rsid w:val="000E637B"/>
    <w:rsid w:val="000E7585"/>
    <w:rsid w:val="000F0298"/>
    <w:rsid w:val="000F371B"/>
    <w:rsid w:val="000F3ECD"/>
    <w:rsid w:val="000F6247"/>
    <w:rsid w:val="000F6D57"/>
    <w:rsid w:val="000F73DB"/>
    <w:rsid w:val="000F7666"/>
    <w:rsid w:val="001000A8"/>
    <w:rsid w:val="00101542"/>
    <w:rsid w:val="001053AF"/>
    <w:rsid w:val="00107254"/>
    <w:rsid w:val="001072C4"/>
    <w:rsid w:val="00111D28"/>
    <w:rsid w:val="001131E4"/>
    <w:rsid w:val="0011446A"/>
    <w:rsid w:val="0011615D"/>
    <w:rsid w:val="00117ABA"/>
    <w:rsid w:val="00117EB1"/>
    <w:rsid w:val="00120405"/>
    <w:rsid w:val="00121F03"/>
    <w:rsid w:val="001222B1"/>
    <w:rsid w:val="00122EE2"/>
    <w:rsid w:val="0012393D"/>
    <w:rsid w:val="00123E4E"/>
    <w:rsid w:val="001256C0"/>
    <w:rsid w:val="0013180C"/>
    <w:rsid w:val="00135741"/>
    <w:rsid w:val="001416FA"/>
    <w:rsid w:val="001419E7"/>
    <w:rsid w:val="00143E4D"/>
    <w:rsid w:val="00150442"/>
    <w:rsid w:val="00151296"/>
    <w:rsid w:val="00152D08"/>
    <w:rsid w:val="00154998"/>
    <w:rsid w:val="0015576B"/>
    <w:rsid w:val="00155B96"/>
    <w:rsid w:val="0016028B"/>
    <w:rsid w:val="001617A5"/>
    <w:rsid w:val="00164334"/>
    <w:rsid w:val="00165756"/>
    <w:rsid w:val="00165EEC"/>
    <w:rsid w:val="00170A72"/>
    <w:rsid w:val="001714E0"/>
    <w:rsid w:val="001717DA"/>
    <w:rsid w:val="00171F9E"/>
    <w:rsid w:val="00172AF6"/>
    <w:rsid w:val="00172F24"/>
    <w:rsid w:val="00174992"/>
    <w:rsid w:val="001752B7"/>
    <w:rsid w:val="00176005"/>
    <w:rsid w:val="00177EF9"/>
    <w:rsid w:val="00180670"/>
    <w:rsid w:val="00180B7D"/>
    <w:rsid w:val="00180F12"/>
    <w:rsid w:val="00181A4F"/>
    <w:rsid w:val="00181ED4"/>
    <w:rsid w:val="00182116"/>
    <w:rsid w:val="00182A4E"/>
    <w:rsid w:val="00183090"/>
    <w:rsid w:val="00185F3B"/>
    <w:rsid w:val="001870AE"/>
    <w:rsid w:val="00191B2F"/>
    <w:rsid w:val="001932E1"/>
    <w:rsid w:val="00195760"/>
    <w:rsid w:val="001A5095"/>
    <w:rsid w:val="001B24B5"/>
    <w:rsid w:val="001B3427"/>
    <w:rsid w:val="001B4EC9"/>
    <w:rsid w:val="001B5D89"/>
    <w:rsid w:val="001B66A3"/>
    <w:rsid w:val="001B686A"/>
    <w:rsid w:val="001B7617"/>
    <w:rsid w:val="001C19A8"/>
    <w:rsid w:val="001C2538"/>
    <w:rsid w:val="001D096B"/>
    <w:rsid w:val="001D1061"/>
    <w:rsid w:val="001D13E5"/>
    <w:rsid w:val="001D1D3E"/>
    <w:rsid w:val="001D27A6"/>
    <w:rsid w:val="001D32CD"/>
    <w:rsid w:val="001D60A1"/>
    <w:rsid w:val="001D7594"/>
    <w:rsid w:val="001D7A68"/>
    <w:rsid w:val="001E0335"/>
    <w:rsid w:val="001E286C"/>
    <w:rsid w:val="001E2938"/>
    <w:rsid w:val="001E5A39"/>
    <w:rsid w:val="001F0166"/>
    <w:rsid w:val="001F04DD"/>
    <w:rsid w:val="001F284E"/>
    <w:rsid w:val="001F2BA5"/>
    <w:rsid w:val="001F3F2E"/>
    <w:rsid w:val="001F44AB"/>
    <w:rsid w:val="001F51FC"/>
    <w:rsid w:val="00202223"/>
    <w:rsid w:val="00205921"/>
    <w:rsid w:val="00205B94"/>
    <w:rsid w:val="002064EE"/>
    <w:rsid w:val="002111F8"/>
    <w:rsid w:val="002119FA"/>
    <w:rsid w:val="00214156"/>
    <w:rsid w:val="00214DD9"/>
    <w:rsid w:val="00215650"/>
    <w:rsid w:val="00216734"/>
    <w:rsid w:val="002177F0"/>
    <w:rsid w:val="0021782E"/>
    <w:rsid w:val="00217EAE"/>
    <w:rsid w:val="00220F6A"/>
    <w:rsid w:val="0022149B"/>
    <w:rsid w:val="002240F5"/>
    <w:rsid w:val="002252F1"/>
    <w:rsid w:val="00226513"/>
    <w:rsid w:val="002328A5"/>
    <w:rsid w:val="002350DE"/>
    <w:rsid w:val="00236207"/>
    <w:rsid w:val="00236316"/>
    <w:rsid w:val="00236EE6"/>
    <w:rsid w:val="002426D0"/>
    <w:rsid w:val="00242788"/>
    <w:rsid w:val="00242EC1"/>
    <w:rsid w:val="00244095"/>
    <w:rsid w:val="00245877"/>
    <w:rsid w:val="0024666A"/>
    <w:rsid w:val="00246BA2"/>
    <w:rsid w:val="00247223"/>
    <w:rsid w:val="00247335"/>
    <w:rsid w:val="00257B2F"/>
    <w:rsid w:val="00260A91"/>
    <w:rsid w:val="00261167"/>
    <w:rsid w:val="002619C3"/>
    <w:rsid w:val="0026324A"/>
    <w:rsid w:val="00264209"/>
    <w:rsid w:val="00264B3E"/>
    <w:rsid w:val="00265D15"/>
    <w:rsid w:val="00272131"/>
    <w:rsid w:val="00272D2B"/>
    <w:rsid w:val="00274E5F"/>
    <w:rsid w:val="00275742"/>
    <w:rsid w:val="00281E9E"/>
    <w:rsid w:val="002833E8"/>
    <w:rsid w:val="0028547B"/>
    <w:rsid w:val="0028731B"/>
    <w:rsid w:val="00290F93"/>
    <w:rsid w:val="00290FA1"/>
    <w:rsid w:val="002920C4"/>
    <w:rsid w:val="002923CB"/>
    <w:rsid w:val="00293F29"/>
    <w:rsid w:val="002A0C0B"/>
    <w:rsid w:val="002A640B"/>
    <w:rsid w:val="002A651A"/>
    <w:rsid w:val="002A6B94"/>
    <w:rsid w:val="002B0624"/>
    <w:rsid w:val="002B095F"/>
    <w:rsid w:val="002B6C5D"/>
    <w:rsid w:val="002B7CB8"/>
    <w:rsid w:val="002C00BD"/>
    <w:rsid w:val="002C07BE"/>
    <w:rsid w:val="002C4E8E"/>
    <w:rsid w:val="002C5A68"/>
    <w:rsid w:val="002C6B65"/>
    <w:rsid w:val="002C7A16"/>
    <w:rsid w:val="002D1066"/>
    <w:rsid w:val="002D1741"/>
    <w:rsid w:val="002D258C"/>
    <w:rsid w:val="002D43C3"/>
    <w:rsid w:val="002D5197"/>
    <w:rsid w:val="002D681D"/>
    <w:rsid w:val="002D7C15"/>
    <w:rsid w:val="002D7D36"/>
    <w:rsid w:val="002E1812"/>
    <w:rsid w:val="002E269D"/>
    <w:rsid w:val="002E5569"/>
    <w:rsid w:val="002F5044"/>
    <w:rsid w:val="002F59B8"/>
    <w:rsid w:val="003002E3"/>
    <w:rsid w:val="00300C7A"/>
    <w:rsid w:val="00301F70"/>
    <w:rsid w:val="00303373"/>
    <w:rsid w:val="003045D8"/>
    <w:rsid w:val="003046E2"/>
    <w:rsid w:val="00304ABE"/>
    <w:rsid w:val="00305ECE"/>
    <w:rsid w:val="00307ECF"/>
    <w:rsid w:val="00310249"/>
    <w:rsid w:val="003102A4"/>
    <w:rsid w:val="00310F07"/>
    <w:rsid w:val="00312BA3"/>
    <w:rsid w:val="003137FF"/>
    <w:rsid w:val="0031534B"/>
    <w:rsid w:val="00315AC8"/>
    <w:rsid w:val="003172BD"/>
    <w:rsid w:val="00317AB9"/>
    <w:rsid w:val="003216B6"/>
    <w:rsid w:val="0032378F"/>
    <w:rsid w:val="00323826"/>
    <w:rsid w:val="00324209"/>
    <w:rsid w:val="00331926"/>
    <w:rsid w:val="00331B4D"/>
    <w:rsid w:val="00334339"/>
    <w:rsid w:val="0033568A"/>
    <w:rsid w:val="003358F2"/>
    <w:rsid w:val="0033603C"/>
    <w:rsid w:val="00336BB4"/>
    <w:rsid w:val="003415EE"/>
    <w:rsid w:val="00343B59"/>
    <w:rsid w:val="0034493B"/>
    <w:rsid w:val="00345C7F"/>
    <w:rsid w:val="003468AA"/>
    <w:rsid w:val="0034737D"/>
    <w:rsid w:val="0035043E"/>
    <w:rsid w:val="003510FD"/>
    <w:rsid w:val="00351485"/>
    <w:rsid w:val="0035265C"/>
    <w:rsid w:val="00354925"/>
    <w:rsid w:val="003551EB"/>
    <w:rsid w:val="0036132F"/>
    <w:rsid w:val="00366B94"/>
    <w:rsid w:val="00366DA7"/>
    <w:rsid w:val="00367AC8"/>
    <w:rsid w:val="00371397"/>
    <w:rsid w:val="00373567"/>
    <w:rsid w:val="00373671"/>
    <w:rsid w:val="003742C6"/>
    <w:rsid w:val="0037541A"/>
    <w:rsid w:val="00375BEA"/>
    <w:rsid w:val="00376274"/>
    <w:rsid w:val="00376A8A"/>
    <w:rsid w:val="00376D4F"/>
    <w:rsid w:val="00376FB4"/>
    <w:rsid w:val="0038032B"/>
    <w:rsid w:val="003806E7"/>
    <w:rsid w:val="00384ACD"/>
    <w:rsid w:val="00387672"/>
    <w:rsid w:val="00387F9E"/>
    <w:rsid w:val="0039655B"/>
    <w:rsid w:val="003968DA"/>
    <w:rsid w:val="003972B5"/>
    <w:rsid w:val="00397771"/>
    <w:rsid w:val="00397E9A"/>
    <w:rsid w:val="003A08D1"/>
    <w:rsid w:val="003A0B1A"/>
    <w:rsid w:val="003A200B"/>
    <w:rsid w:val="003A540B"/>
    <w:rsid w:val="003A5E54"/>
    <w:rsid w:val="003A6597"/>
    <w:rsid w:val="003B0A24"/>
    <w:rsid w:val="003B2536"/>
    <w:rsid w:val="003B4AED"/>
    <w:rsid w:val="003B6A10"/>
    <w:rsid w:val="003B7C91"/>
    <w:rsid w:val="003C0516"/>
    <w:rsid w:val="003C05B0"/>
    <w:rsid w:val="003C0893"/>
    <w:rsid w:val="003C08EA"/>
    <w:rsid w:val="003C1FC3"/>
    <w:rsid w:val="003C3C5F"/>
    <w:rsid w:val="003D4456"/>
    <w:rsid w:val="003D6D71"/>
    <w:rsid w:val="003E5173"/>
    <w:rsid w:val="003E5959"/>
    <w:rsid w:val="003E76E7"/>
    <w:rsid w:val="003F16F0"/>
    <w:rsid w:val="003F26D3"/>
    <w:rsid w:val="003F4833"/>
    <w:rsid w:val="003F4C37"/>
    <w:rsid w:val="003F4D18"/>
    <w:rsid w:val="003F6D5F"/>
    <w:rsid w:val="0040346B"/>
    <w:rsid w:val="00404A01"/>
    <w:rsid w:val="00406CAB"/>
    <w:rsid w:val="00407185"/>
    <w:rsid w:val="004113EF"/>
    <w:rsid w:val="00411648"/>
    <w:rsid w:val="00411C42"/>
    <w:rsid w:val="00414570"/>
    <w:rsid w:val="00417231"/>
    <w:rsid w:val="00421D5E"/>
    <w:rsid w:val="00422E44"/>
    <w:rsid w:val="00425948"/>
    <w:rsid w:val="004263DB"/>
    <w:rsid w:val="0042655D"/>
    <w:rsid w:val="00427953"/>
    <w:rsid w:val="00432110"/>
    <w:rsid w:val="00433664"/>
    <w:rsid w:val="00434720"/>
    <w:rsid w:val="00434B5F"/>
    <w:rsid w:val="00436999"/>
    <w:rsid w:val="00436D1E"/>
    <w:rsid w:val="004372CC"/>
    <w:rsid w:val="00437AE5"/>
    <w:rsid w:val="00440E8B"/>
    <w:rsid w:val="004412A8"/>
    <w:rsid w:val="0044176E"/>
    <w:rsid w:val="00441DD7"/>
    <w:rsid w:val="00442600"/>
    <w:rsid w:val="00445084"/>
    <w:rsid w:val="00454A46"/>
    <w:rsid w:val="00456F23"/>
    <w:rsid w:val="004618D7"/>
    <w:rsid w:val="00462814"/>
    <w:rsid w:val="00462C4B"/>
    <w:rsid w:val="004631A1"/>
    <w:rsid w:val="00464954"/>
    <w:rsid w:val="00466904"/>
    <w:rsid w:val="00473B40"/>
    <w:rsid w:val="00473FF2"/>
    <w:rsid w:val="00475875"/>
    <w:rsid w:val="00476F11"/>
    <w:rsid w:val="004778D8"/>
    <w:rsid w:val="00481ED3"/>
    <w:rsid w:val="004823C7"/>
    <w:rsid w:val="00483CF7"/>
    <w:rsid w:val="00484E7B"/>
    <w:rsid w:val="00487293"/>
    <w:rsid w:val="0049050E"/>
    <w:rsid w:val="00490D22"/>
    <w:rsid w:val="0049111E"/>
    <w:rsid w:val="00491399"/>
    <w:rsid w:val="00492D0F"/>
    <w:rsid w:val="0049376A"/>
    <w:rsid w:val="004943E0"/>
    <w:rsid w:val="0049696F"/>
    <w:rsid w:val="00497B1F"/>
    <w:rsid w:val="00497F4B"/>
    <w:rsid w:val="004A00DB"/>
    <w:rsid w:val="004A0A69"/>
    <w:rsid w:val="004A12DC"/>
    <w:rsid w:val="004A1AA7"/>
    <w:rsid w:val="004A1CA9"/>
    <w:rsid w:val="004A2557"/>
    <w:rsid w:val="004A6851"/>
    <w:rsid w:val="004A6A5C"/>
    <w:rsid w:val="004B3123"/>
    <w:rsid w:val="004B3EEE"/>
    <w:rsid w:val="004B4A3C"/>
    <w:rsid w:val="004C1D56"/>
    <w:rsid w:val="004C1FC0"/>
    <w:rsid w:val="004C26A9"/>
    <w:rsid w:val="004C2915"/>
    <w:rsid w:val="004C43BD"/>
    <w:rsid w:val="004C5CA0"/>
    <w:rsid w:val="004D2BDC"/>
    <w:rsid w:val="004D788C"/>
    <w:rsid w:val="004E3168"/>
    <w:rsid w:val="004E46CD"/>
    <w:rsid w:val="004E4A0A"/>
    <w:rsid w:val="004E4F09"/>
    <w:rsid w:val="004E639C"/>
    <w:rsid w:val="004F03C0"/>
    <w:rsid w:val="004F17C7"/>
    <w:rsid w:val="004F4ECB"/>
    <w:rsid w:val="004F62F0"/>
    <w:rsid w:val="00500F94"/>
    <w:rsid w:val="005011BE"/>
    <w:rsid w:val="005018C8"/>
    <w:rsid w:val="00504726"/>
    <w:rsid w:val="00504C04"/>
    <w:rsid w:val="0050648F"/>
    <w:rsid w:val="005064D2"/>
    <w:rsid w:val="00506EBA"/>
    <w:rsid w:val="00507765"/>
    <w:rsid w:val="0051031F"/>
    <w:rsid w:val="005117A3"/>
    <w:rsid w:val="00511C5F"/>
    <w:rsid w:val="00515D09"/>
    <w:rsid w:val="00516C0E"/>
    <w:rsid w:val="005174EE"/>
    <w:rsid w:val="00517ADC"/>
    <w:rsid w:val="00517AF5"/>
    <w:rsid w:val="00517FF4"/>
    <w:rsid w:val="005206A6"/>
    <w:rsid w:val="00521511"/>
    <w:rsid w:val="0052779E"/>
    <w:rsid w:val="00532CD5"/>
    <w:rsid w:val="00532DB3"/>
    <w:rsid w:val="005330D0"/>
    <w:rsid w:val="00533264"/>
    <w:rsid w:val="0053524F"/>
    <w:rsid w:val="00543D0D"/>
    <w:rsid w:val="00547054"/>
    <w:rsid w:val="00551ABF"/>
    <w:rsid w:val="00552486"/>
    <w:rsid w:val="00552A5F"/>
    <w:rsid w:val="0055322A"/>
    <w:rsid w:val="0055333F"/>
    <w:rsid w:val="00555B96"/>
    <w:rsid w:val="005574F3"/>
    <w:rsid w:val="00560B8D"/>
    <w:rsid w:val="005615D3"/>
    <w:rsid w:val="00561BD9"/>
    <w:rsid w:val="005626B6"/>
    <w:rsid w:val="0056476F"/>
    <w:rsid w:val="00566219"/>
    <w:rsid w:val="005709E6"/>
    <w:rsid w:val="00571455"/>
    <w:rsid w:val="005721EB"/>
    <w:rsid w:val="005749E2"/>
    <w:rsid w:val="00574DAE"/>
    <w:rsid w:val="00575F57"/>
    <w:rsid w:val="005769CD"/>
    <w:rsid w:val="00580693"/>
    <w:rsid w:val="00580F86"/>
    <w:rsid w:val="005815FA"/>
    <w:rsid w:val="005829EA"/>
    <w:rsid w:val="00582E66"/>
    <w:rsid w:val="00582F8F"/>
    <w:rsid w:val="005832CB"/>
    <w:rsid w:val="00586479"/>
    <w:rsid w:val="005866FA"/>
    <w:rsid w:val="00586B03"/>
    <w:rsid w:val="005902AC"/>
    <w:rsid w:val="00591CE7"/>
    <w:rsid w:val="00593923"/>
    <w:rsid w:val="00593CC3"/>
    <w:rsid w:val="00594039"/>
    <w:rsid w:val="00596E31"/>
    <w:rsid w:val="005A1B2F"/>
    <w:rsid w:val="005A2C0C"/>
    <w:rsid w:val="005A2C13"/>
    <w:rsid w:val="005A758A"/>
    <w:rsid w:val="005B1EEA"/>
    <w:rsid w:val="005B3C7A"/>
    <w:rsid w:val="005B7959"/>
    <w:rsid w:val="005C1165"/>
    <w:rsid w:val="005C2233"/>
    <w:rsid w:val="005C3739"/>
    <w:rsid w:val="005C4525"/>
    <w:rsid w:val="005C6152"/>
    <w:rsid w:val="005C7BE5"/>
    <w:rsid w:val="005C7FF9"/>
    <w:rsid w:val="005D16A1"/>
    <w:rsid w:val="005D3F77"/>
    <w:rsid w:val="005D6C62"/>
    <w:rsid w:val="005D7718"/>
    <w:rsid w:val="005E038F"/>
    <w:rsid w:val="005E2F04"/>
    <w:rsid w:val="005E3C88"/>
    <w:rsid w:val="005E3FBE"/>
    <w:rsid w:val="005E46F8"/>
    <w:rsid w:val="005E6FB5"/>
    <w:rsid w:val="005E7F17"/>
    <w:rsid w:val="005F24A6"/>
    <w:rsid w:val="005F3E7A"/>
    <w:rsid w:val="005F5305"/>
    <w:rsid w:val="005F6AE3"/>
    <w:rsid w:val="005F7715"/>
    <w:rsid w:val="005F7DF5"/>
    <w:rsid w:val="00600F8A"/>
    <w:rsid w:val="0060170D"/>
    <w:rsid w:val="00601FB6"/>
    <w:rsid w:val="00605728"/>
    <w:rsid w:val="006107C8"/>
    <w:rsid w:val="0061180D"/>
    <w:rsid w:val="00612AA6"/>
    <w:rsid w:val="006153BF"/>
    <w:rsid w:val="006178BA"/>
    <w:rsid w:val="006264EB"/>
    <w:rsid w:val="00626C8A"/>
    <w:rsid w:val="00631551"/>
    <w:rsid w:val="00633ADD"/>
    <w:rsid w:val="0063470F"/>
    <w:rsid w:val="00634D07"/>
    <w:rsid w:val="00635090"/>
    <w:rsid w:val="00635928"/>
    <w:rsid w:val="0063748C"/>
    <w:rsid w:val="0063764C"/>
    <w:rsid w:val="00637918"/>
    <w:rsid w:val="00641335"/>
    <w:rsid w:val="00642F9B"/>
    <w:rsid w:val="00643305"/>
    <w:rsid w:val="0064430E"/>
    <w:rsid w:val="006444E6"/>
    <w:rsid w:val="00651361"/>
    <w:rsid w:val="00651519"/>
    <w:rsid w:val="00652312"/>
    <w:rsid w:val="006523F5"/>
    <w:rsid w:val="006548D9"/>
    <w:rsid w:val="00655515"/>
    <w:rsid w:val="00655EF7"/>
    <w:rsid w:val="00661317"/>
    <w:rsid w:val="00661A80"/>
    <w:rsid w:val="006625C4"/>
    <w:rsid w:val="00664385"/>
    <w:rsid w:val="00671474"/>
    <w:rsid w:val="00671C64"/>
    <w:rsid w:val="00672858"/>
    <w:rsid w:val="006729EF"/>
    <w:rsid w:val="006732BF"/>
    <w:rsid w:val="006736CD"/>
    <w:rsid w:val="00673E9E"/>
    <w:rsid w:val="00676827"/>
    <w:rsid w:val="00677E20"/>
    <w:rsid w:val="00681275"/>
    <w:rsid w:val="0068139B"/>
    <w:rsid w:val="00682547"/>
    <w:rsid w:val="0068590F"/>
    <w:rsid w:val="006874CE"/>
    <w:rsid w:val="00687F07"/>
    <w:rsid w:val="00690CA3"/>
    <w:rsid w:val="006962F1"/>
    <w:rsid w:val="006964D7"/>
    <w:rsid w:val="006A06A2"/>
    <w:rsid w:val="006A22E9"/>
    <w:rsid w:val="006A27E1"/>
    <w:rsid w:val="006A693F"/>
    <w:rsid w:val="006B0B6F"/>
    <w:rsid w:val="006B0F4D"/>
    <w:rsid w:val="006B18A0"/>
    <w:rsid w:val="006B1DDF"/>
    <w:rsid w:val="006B2565"/>
    <w:rsid w:val="006B3174"/>
    <w:rsid w:val="006B419F"/>
    <w:rsid w:val="006B458E"/>
    <w:rsid w:val="006B5499"/>
    <w:rsid w:val="006B5671"/>
    <w:rsid w:val="006B6139"/>
    <w:rsid w:val="006B6E5D"/>
    <w:rsid w:val="006B71D8"/>
    <w:rsid w:val="006B7891"/>
    <w:rsid w:val="006C2BD0"/>
    <w:rsid w:val="006C39ED"/>
    <w:rsid w:val="006C4243"/>
    <w:rsid w:val="006C4C3D"/>
    <w:rsid w:val="006C7CB6"/>
    <w:rsid w:val="006C7CE9"/>
    <w:rsid w:val="006C7EEF"/>
    <w:rsid w:val="006D08C1"/>
    <w:rsid w:val="006D377E"/>
    <w:rsid w:val="006D49A1"/>
    <w:rsid w:val="006D4A89"/>
    <w:rsid w:val="006D5017"/>
    <w:rsid w:val="006D54D8"/>
    <w:rsid w:val="006D795E"/>
    <w:rsid w:val="006E20F3"/>
    <w:rsid w:val="006E2245"/>
    <w:rsid w:val="006E5227"/>
    <w:rsid w:val="006E57A5"/>
    <w:rsid w:val="006E7889"/>
    <w:rsid w:val="006F02B7"/>
    <w:rsid w:val="006F27F0"/>
    <w:rsid w:val="006F2905"/>
    <w:rsid w:val="006F2ADF"/>
    <w:rsid w:val="006F3786"/>
    <w:rsid w:val="006F495E"/>
    <w:rsid w:val="006F5BCE"/>
    <w:rsid w:val="006F6E2C"/>
    <w:rsid w:val="006F7997"/>
    <w:rsid w:val="00700BC9"/>
    <w:rsid w:val="00703098"/>
    <w:rsid w:val="00703A56"/>
    <w:rsid w:val="00710995"/>
    <w:rsid w:val="00710A25"/>
    <w:rsid w:val="00711458"/>
    <w:rsid w:val="007129E8"/>
    <w:rsid w:val="0071515F"/>
    <w:rsid w:val="00716DF8"/>
    <w:rsid w:val="007208BD"/>
    <w:rsid w:val="00721C91"/>
    <w:rsid w:val="00722085"/>
    <w:rsid w:val="00722D59"/>
    <w:rsid w:val="0072513F"/>
    <w:rsid w:val="007255F1"/>
    <w:rsid w:val="007269FF"/>
    <w:rsid w:val="00726BA2"/>
    <w:rsid w:val="00727260"/>
    <w:rsid w:val="00727C50"/>
    <w:rsid w:val="00731FD7"/>
    <w:rsid w:val="007320B4"/>
    <w:rsid w:val="00733D03"/>
    <w:rsid w:val="00735024"/>
    <w:rsid w:val="007361AB"/>
    <w:rsid w:val="007373AB"/>
    <w:rsid w:val="00737918"/>
    <w:rsid w:val="007416AC"/>
    <w:rsid w:val="00741B60"/>
    <w:rsid w:val="00742DAA"/>
    <w:rsid w:val="0074398F"/>
    <w:rsid w:val="007522BE"/>
    <w:rsid w:val="00755C99"/>
    <w:rsid w:val="00756CC3"/>
    <w:rsid w:val="00756E4C"/>
    <w:rsid w:val="00757DAC"/>
    <w:rsid w:val="00762150"/>
    <w:rsid w:val="00763941"/>
    <w:rsid w:val="007713D0"/>
    <w:rsid w:val="007716B8"/>
    <w:rsid w:val="00772A9A"/>
    <w:rsid w:val="00774528"/>
    <w:rsid w:val="007756D7"/>
    <w:rsid w:val="007760DD"/>
    <w:rsid w:val="00776D1C"/>
    <w:rsid w:val="007771C7"/>
    <w:rsid w:val="007774D4"/>
    <w:rsid w:val="00777E5E"/>
    <w:rsid w:val="007814FB"/>
    <w:rsid w:val="007819A7"/>
    <w:rsid w:val="00787BDD"/>
    <w:rsid w:val="00790DFC"/>
    <w:rsid w:val="00792CDA"/>
    <w:rsid w:val="00793488"/>
    <w:rsid w:val="007937B0"/>
    <w:rsid w:val="007957A4"/>
    <w:rsid w:val="007A06B6"/>
    <w:rsid w:val="007A4B28"/>
    <w:rsid w:val="007A7830"/>
    <w:rsid w:val="007B0AED"/>
    <w:rsid w:val="007B0F35"/>
    <w:rsid w:val="007B3808"/>
    <w:rsid w:val="007B3E85"/>
    <w:rsid w:val="007B7A23"/>
    <w:rsid w:val="007C1320"/>
    <w:rsid w:val="007C2807"/>
    <w:rsid w:val="007C424A"/>
    <w:rsid w:val="007C4D8F"/>
    <w:rsid w:val="007C4DC2"/>
    <w:rsid w:val="007C7A52"/>
    <w:rsid w:val="007D161E"/>
    <w:rsid w:val="007D3D34"/>
    <w:rsid w:val="007D51CE"/>
    <w:rsid w:val="007D7FF2"/>
    <w:rsid w:val="007E0D38"/>
    <w:rsid w:val="007E2B47"/>
    <w:rsid w:val="007E2EB2"/>
    <w:rsid w:val="007E46D0"/>
    <w:rsid w:val="007F2255"/>
    <w:rsid w:val="007F3431"/>
    <w:rsid w:val="007F5EB1"/>
    <w:rsid w:val="007F6844"/>
    <w:rsid w:val="0080006D"/>
    <w:rsid w:val="00805450"/>
    <w:rsid w:val="00806199"/>
    <w:rsid w:val="0080766C"/>
    <w:rsid w:val="00813050"/>
    <w:rsid w:val="008135E8"/>
    <w:rsid w:val="00813851"/>
    <w:rsid w:val="00813BBB"/>
    <w:rsid w:val="00813BBE"/>
    <w:rsid w:val="00815974"/>
    <w:rsid w:val="008170EC"/>
    <w:rsid w:val="00820258"/>
    <w:rsid w:val="00821328"/>
    <w:rsid w:val="008233F7"/>
    <w:rsid w:val="00824AC3"/>
    <w:rsid w:val="00827685"/>
    <w:rsid w:val="00830BAB"/>
    <w:rsid w:val="00836443"/>
    <w:rsid w:val="00836544"/>
    <w:rsid w:val="00840B40"/>
    <w:rsid w:val="008419A1"/>
    <w:rsid w:val="00843DBC"/>
    <w:rsid w:val="00845540"/>
    <w:rsid w:val="00845DE2"/>
    <w:rsid w:val="0084797E"/>
    <w:rsid w:val="00851758"/>
    <w:rsid w:val="00851AC9"/>
    <w:rsid w:val="00853025"/>
    <w:rsid w:val="00856252"/>
    <w:rsid w:val="00861AF6"/>
    <w:rsid w:val="00861E5F"/>
    <w:rsid w:val="008641F6"/>
    <w:rsid w:val="00865B87"/>
    <w:rsid w:val="00867EB0"/>
    <w:rsid w:val="008702C1"/>
    <w:rsid w:val="00872242"/>
    <w:rsid w:val="008733DC"/>
    <w:rsid w:val="00875019"/>
    <w:rsid w:val="0087554C"/>
    <w:rsid w:val="00875745"/>
    <w:rsid w:val="00880E5A"/>
    <w:rsid w:val="00883827"/>
    <w:rsid w:val="00885BCB"/>
    <w:rsid w:val="008863EF"/>
    <w:rsid w:val="00886521"/>
    <w:rsid w:val="00890774"/>
    <w:rsid w:val="00891E5A"/>
    <w:rsid w:val="008937E0"/>
    <w:rsid w:val="008950F8"/>
    <w:rsid w:val="008959D5"/>
    <w:rsid w:val="00895D31"/>
    <w:rsid w:val="008967CE"/>
    <w:rsid w:val="00896CAA"/>
    <w:rsid w:val="00897EB9"/>
    <w:rsid w:val="008A4582"/>
    <w:rsid w:val="008A45C0"/>
    <w:rsid w:val="008A60FD"/>
    <w:rsid w:val="008A61E6"/>
    <w:rsid w:val="008A778B"/>
    <w:rsid w:val="008B11B0"/>
    <w:rsid w:val="008B1602"/>
    <w:rsid w:val="008B40B1"/>
    <w:rsid w:val="008B6569"/>
    <w:rsid w:val="008B6FF6"/>
    <w:rsid w:val="008B72BF"/>
    <w:rsid w:val="008B7834"/>
    <w:rsid w:val="008C2A03"/>
    <w:rsid w:val="008D1D78"/>
    <w:rsid w:val="008D3095"/>
    <w:rsid w:val="008D4B7A"/>
    <w:rsid w:val="008E3121"/>
    <w:rsid w:val="008E5D06"/>
    <w:rsid w:val="008E7291"/>
    <w:rsid w:val="008F2160"/>
    <w:rsid w:val="008F4F24"/>
    <w:rsid w:val="008F60BE"/>
    <w:rsid w:val="008F6FD5"/>
    <w:rsid w:val="00903D5F"/>
    <w:rsid w:val="009047B3"/>
    <w:rsid w:val="00904891"/>
    <w:rsid w:val="00905995"/>
    <w:rsid w:val="00907921"/>
    <w:rsid w:val="0091039D"/>
    <w:rsid w:val="0091075B"/>
    <w:rsid w:val="009110BF"/>
    <w:rsid w:val="00911707"/>
    <w:rsid w:val="00914E2B"/>
    <w:rsid w:val="00915680"/>
    <w:rsid w:val="009234DB"/>
    <w:rsid w:val="0092629F"/>
    <w:rsid w:val="00930935"/>
    <w:rsid w:val="00932164"/>
    <w:rsid w:val="0093235D"/>
    <w:rsid w:val="0093349E"/>
    <w:rsid w:val="00933FFC"/>
    <w:rsid w:val="00937215"/>
    <w:rsid w:val="00941967"/>
    <w:rsid w:val="00943C39"/>
    <w:rsid w:val="00944607"/>
    <w:rsid w:val="00944836"/>
    <w:rsid w:val="00944B96"/>
    <w:rsid w:val="0095179A"/>
    <w:rsid w:val="00952562"/>
    <w:rsid w:val="00953763"/>
    <w:rsid w:val="00954337"/>
    <w:rsid w:val="009545B5"/>
    <w:rsid w:val="00955438"/>
    <w:rsid w:val="00960587"/>
    <w:rsid w:val="00961735"/>
    <w:rsid w:val="00962232"/>
    <w:rsid w:val="009626B5"/>
    <w:rsid w:val="00963751"/>
    <w:rsid w:val="00971673"/>
    <w:rsid w:val="00972502"/>
    <w:rsid w:val="009747AE"/>
    <w:rsid w:val="00976128"/>
    <w:rsid w:val="00976365"/>
    <w:rsid w:val="009809FE"/>
    <w:rsid w:val="00981DE2"/>
    <w:rsid w:val="00982480"/>
    <w:rsid w:val="00983B93"/>
    <w:rsid w:val="00986C7B"/>
    <w:rsid w:val="00992858"/>
    <w:rsid w:val="009930F3"/>
    <w:rsid w:val="009942D4"/>
    <w:rsid w:val="00995997"/>
    <w:rsid w:val="00996A9D"/>
    <w:rsid w:val="009A1803"/>
    <w:rsid w:val="009A36D0"/>
    <w:rsid w:val="009A5283"/>
    <w:rsid w:val="009B0D98"/>
    <w:rsid w:val="009B1958"/>
    <w:rsid w:val="009B4479"/>
    <w:rsid w:val="009B6EA6"/>
    <w:rsid w:val="009B7D1C"/>
    <w:rsid w:val="009C5556"/>
    <w:rsid w:val="009C7D00"/>
    <w:rsid w:val="009D0F46"/>
    <w:rsid w:val="009D1A0B"/>
    <w:rsid w:val="009D436C"/>
    <w:rsid w:val="009D4A43"/>
    <w:rsid w:val="009D6D5F"/>
    <w:rsid w:val="009D7605"/>
    <w:rsid w:val="009E1284"/>
    <w:rsid w:val="009E299A"/>
    <w:rsid w:val="009E3612"/>
    <w:rsid w:val="009F167C"/>
    <w:rsid w:val="009F1DD6"/>
    <w:rsid w:val="009F418A"/>
    <w:rsid w:val="009F460B"/>
    <w:rsid w:val="009F5151"/>
    <w:rsid w:val="00A00F42"/>
    <w:rsid w:val="00A0188F"/>
    <w:rsid w:val="00A01BC6"/>
    <w:rsid w:val="00A03CB1"/>
    <w:rsid w:val="00A060DE"/>
    <w:rsid w:val="00A11F77"/>
    <w:rsid w:val="00A12C15"/>
    <w:rsid w:val="00A1325A"/>
    <w:rsid w:val="00A14271"/>
    <w:rsid w:val="00A208DB"/>
    <w:rsid w:val="00A20BBD"/>
    <w:rsid w:val="00A21D1F"/>
    <w:rsid w:val="00A226B6"/>
    <w:rsid w:val="00A22BF1"/>
    <w:rsid w:val="00A232E2"/>
    <w:rsid w:val="00A26F0D"/>
    <w:rsid w:val="00A32BA0"/>
    <w:rsid w:val="00A34C75"/>
    <w:rsid w:val="00A37F25"/>
    <w:rsid w:val="00A44577"/>
    <w:rsid w:val="00A44F66"/>
    <w:rsid w:val="00A46DEF"/>
    <w:rsid w:val="00A46EC4"/>
    <w:rsid w:val="00A524F8"/>
    <w:rsid w:val="00A5370D"/>
    <w:rsid w:val="00A61355"/>
    <w:rsid w:val="00A62E2A"/>
    <w:rsid w:val="00A655C9"/>
    <w:rsid w:val="00A665AA"/>
    <w:rsid w:val="00A67B2E"/>
    <w:rsid w:val="00A67E60"/>
    <w:rsid w:val="00A70D73"/>
    <w:rsid w:val="00A71CB7"/>
    <w:rsid w:val="00A736CF"/>
    <w:rsid w:val="00A73F07"/>
    <w:rsid w:val="00A77369"/>
    <w:rsid w:val="00A80598"/>
    <w:rsid w:val="00A81D51"/>
    <w:rsid w:val="00A825D2"/>
    <w:rsid w:val="00A829C2"/>
    <w:rsid w:val="00A903BF"/>
    <w:rsid w:val="00A90ADD"/>
    <w:rsid w:val="00A90ECC"/>
    <w:rsid w:val="00A93A8C"/>
    <w:rsid w:val="00A93C4E"/>
    <w:rsid w:val="00A94337"/>
    <w:rsid w:val="00A943DC"/>
    <w:rsid w:val="00A9527D"/>
    <w:rsid w:val="00A96FC8"/>
    <w:rsid w:val="00A97A34"/>
    <w:rsid w:val="00AA1142"/>
    <w:rsid w:val="00AA2AAA"/>
    <w:rsid w:val="00AA5401"/>
    <w:rsid w:val="00AA7962"/>
    <w:rsid w:val="00AB0130"/>
    <w:rsid w:val="00AB231E"/>
    <w:rsid w:val="00AB44AB"/>
    <w:rsid w:val="00AB5471"/>
    <w:rsid w:val="00AB6AC7"/>
    <w:rsid w:val="00AB77F8"/>
    <w:rsid w:val="00AC03B2"/>
    <w:rsid w:val="00AC10CC"/>
    <w:rsid w:val="00AC3A28"/>
    <w:rsid w:val="00AC4C4E"/>
    <w:rsid w:val="00AC56DD"/>
    <w:rsid w:val="00AD3965"/>
    <w:rsid w:val="00AD416D"/>
    <w:rsid w:val="00AD47F8"/>
    <w:rsid w:val="00AD6B8C"/>
    <w:rsid w:val="00AF05D1"/>
    <w:rsid w:val="00AF0838"/>
    <w:rsid w:val="00AF21E9"/>
    <w:rsid w:val="00AF396A"/>
    <w:rsid w:val="00B01406"/>
    <w:rsid w:val="00B01423"/>
    <w:rsid w:val="00B01D8F"/>
    <w:rsid w:val="00B049AE"/>
    <w:rsid w:val="00B051C5"/>
    <w:rsid w:val="00B0532D"/>
    <w:rsid w:val="00B05579"/>
    <w:rsid w:val="00B07610"/>
    <w:rsid w:val="00B10F0F"/>
    <w:rsid w:val="00B11790"/>
    <w:rsid w:val="00B152B2"/>
    <w:rsid w:val="00B15305"/>
    <w:rsid w:val="00B153CE"/>
    <w:rsid w:val="00B1720A"/>
    <w:rsid w:val="00B17CD4"/>
    <w:rsid w:val="00B21552"/>
    <w:rsid w:val="00B21858"/>
    <w:rsid w:val="00B22514"/>
    <w:rsid w:val="00B23278"/>
    <w:rsid w:val="00B253B4"/>
    <w:rsid w:val="00B259A2"/>
    <w:rsid w:val="00B25FF0"/>
    <w:rsid w:val="00B305A7"/>
    <w:rsid w:val="00B30E20"/>
    <w:rsid w:val="00B32D06"/>
    <w:rsid w:val="00B34E0F"/>
    <w:rsid w:val="00B352D1"/>
    <w:rsid w:val="00B402C7"/>
    <w:rsid w:val="00B40D6D"/>
    <w:rsid w:val="00B4267C"/>
    <w:rsid w:val="00B437BC"/>
    <w:rsid w:val="00B439CA"/>
    <w:rsid w:val="00B463A2"/>
    <w:rsid w:val="00B5082F"/>
    <w:rsid w:val="00B51718"/>
    <w:rsid w:val="00B51B95"/>
    <w:rsid w:val="00B53340"/>
    <w:rsid w:val="00B53C84"/>
    <w:rsid w:val="00B5592B"/>
    <w:rsid w:val="00B57125"/>
    <w:rsid w:val="00B6041C"/>
    <w:rsid w:val="00B634A0"/>
    <w:rsid w:val="00B6478C"/>
    <w:rsid w:val="00B666A5"/>
    <w:rsid w:val="00B7026F"/>
    <w:rsid w:val="00B70E98"/>
    <w:rsid w:val="00B71932"/>
    <w:rsid w:val="00B71EBE"/>
    <w:rsid w:val="00B735AB"/>
    <w:rsid w:val="00B755EB"/>
    <w:rsid w:val="00B76344"/>
    <w:rsid w:val="00B76475"/>
    <w:rsid w:val="00B76F74"/>
    <w:rsid w:val="00B80101"/>
    <w:rsid w:val="00B80C09"/>
    <w:rsid w:val="00B817A7"/>
    <w:rsid w:val="00B87FA3"/>
    <w:rsid w:val="00B92931"/>
    <w:rsid w:val="00B9786A"/>
    <w:rsid w:val="00B97EBA"/>
    <w:rsid w:val="00BA2965"/>
    <w:rsid w:val="00BA48B2"/>
    <w:rsid w:val="00BA4CBC"/>
    <w:rsid w:val="00BB0043"/>
    <w:rsid w:val="00BB14E7"/>
    <w:rsid w:val="00BB158E"/>
    <w:rsid w:val="00BB28D1"/>
    <w:rsid w:val="00BB2A19"/>
    <w:rsid w:val="00BB2C21"/>
    <w:rsid w:val="00BB338E"/>
    <w:rsid w:val="00BB4C31"/>
    <w:rsid w:val="00BB594C"/>
    <w:rsid w:val="00BC2400"/>
    <w:rsid w:val="00BC3A3E"/>
    <w:rsid w:val="00BC5053"/>
    <w:rsid w:val="00BC55A1"/>
    <w:rsid w:val="00BC5627"/>
    <w:rsid w:val="00BC568B"/>
    <w:rsid w:val="00BD075D"/>
    <w:rsid w:val="00BD25B0"/>
    <w:rsid w:val="00BD2C1C"/>
    <w:rsid w:val="00BD313C"/>
    <w:rsid w:val="00BD4096"/>
    <w:rsid w:val="00BD4196"/>
    <w:rsid w:val="00BD4CEA"/>
    <w:rsid w:val="00BD6907"/>
    <w:rsid w:val="00BD7205"/>
    <w:rsid w:val="00BE0288"/>
    <w:rsid w:val="00BE296C"/>
    <w:rsid w:val="00BE2A4A"/>
    <w:rsid w:val="00BE661B"/>
    <w:rsid w:val="00BE6A96"/>
    <w:rsid w:val="00BF003B"/>
    <w:rsid w:val="00BF0044"/>
    <w:rsid w:val="00BF2E77"/>
    <w:rsid w:val="00BF607C"/>
    <w:rsid w:val="00BF6428"/>
    <w:rsid w:val="00BF7223"/>
    <w:rsid w:val="00C00811"/>
    <w:rsid w:val="00C040BA"/>
    <w:rsid w:val="00C05E3E"/>
    <w:rsid w:val="00C064F4"/>
    <w:rsid w:val="00C109FF"/>
    <w:rsid w:val="00C11116"/>
    <w:rsid w:val="00C15DB9"/>
    <w:rsid w:val="00C16371"/>
    <w:rsid w:val="00C230D9"/>
    <w:rsid w:val="00C24917"/>
    <w:rsid w:val="00C259F1"/>
    <w:rsid w:val="00C25AF6"/>
    <w:rsid w:val="00C2610E"/>
    <w:rsid w:val="00C26A14"/>
    <w:rsid w:val="00C272C8"/>
    <w:rsid w:val="00C32106"/>
    <w:rsid w:val="00C33FA5"/>
    <w:rsid w:val="00C3451D"/>
    <w:rsid w:val="00C3521B"/>
    <w:rsid w:val="00C36E46"/>
    <w:rsid w:val="00C36FC9"/>
    <w:rsid w:val="00C370D0"/>
    <w:rsid w:val="00C4164D"/>
    <w:rsid w:val="00C417E5"/>
    <w:rsid w:val="00C42ABA"/>
    <w:rsid w:val="00C43FE6"/>
    <w:rsid w:val="00C45C79"/>
    <w:rsid w:val="00C47CE2"/>
    <w:rsid w:val="00C50BCB"/>
    <w:rsid w:val="00C5240E"/>
    <w:rsid w:val="00C551A1"/>
    <w:rsid w:val="00C552DC"/>
    <w:rsid w:val="00C57B25"/>
    <w:rsid w:val="00C629F6"/>
    <w:rsid w:val="00C667B2"/>
    <w:rsid w:val="00C72EC3"/>
    <w:rsid w:val="00C81465"/>
    <w:rsid w:val="00C843AC"/>
    <w:rsid w:val="00C84FA2"/>
    <w:rsid w:val="00C870EC"/>
    <w:rsid w:val="00C92337"/>
    <w:rsid w:val="00C938B6"/>
    <w:rsid w:val="00C93CA2"/>
    <w:rsid w:val="00C94542"/>
    <w:rsid w:val="00C95043"/>
    <w:rsid w:val="00C95D1A"/>
    <w:rsid w:val="00C97B89"/>
    <w:rsid w:val="00CA2550"/>
    <w:rsid w:val="00CA6D07"/>
    <w:rsid w:val="00CA7834"/>
    <w:rsid w:val="00CB1F00"/>
    <w:rsid w:val="00CB2A65"/>
    <w:rsid w:val="00CB4558"/>
    <w:rsid w:val="00CB47E0"/>
    <w:rsid w:val="00CB4F65"/>
    <w:rsid w:val="00CB5AE1"/>
    <w:rsid w:val="00CB5E85"/>
    <w:rsid w:val="00CC0978"/>
    <w:rsid w:val="00CC1765"/>
    <w:rsid w:val="00CC481B"/>
    <w:rsid w:val="00CC491D"/>
    <w:rsid w:val="00CC5F6A"/>
    <w:rsid w:val="00CC734E"/>
    <w:rsid w:val="00CD3CE2"/>
    <w:rsid w:val="00CD431A"/>
    <w:rsid w:val="00CD4BD0"/>
    <w:rsid w:val="00CD4F0E"/>
    <w:rsid w:val="00CD6EB7"/>
    <w:rsid w:val="00CD7623"/>
    <w:rsid w:val="00CD7CE0"/>
    <w:rsid w:val="00CE1382"/>
    <w:rsid w:val="00CE2688"/>
    <w:rsid w:val="00CE43D4"/>
    <w:rsid w:val="00CE507A"/>
    <w:rsid w:val="00CE5E98"/>
    <w:rsid w:val="00CF287A"/>
    <w:rsid w:val="00CF43DE"/>
    <w:rsid w:val="00CF44FC"/>
    <w:rsid w:val="00CF506E"/>
    <w:rsid w:val="00CF515D"/>
    <w:rsid w:val="00D03755"/>
    <w:rsid w:val="00D04FD5"/>
    <w:rsid w:val="00D06249"/>
    <w:rsid w:val="00D073E7"/>
    <w:rsid w:val="00D109D8"/>
    <w:rsid w:val="00D10C29"/>
    <w:rsid w:val="00D111E4"/>
    <w:rsid w:val="00D124E1"/>
    <w:rsid w:val="00D13539"/>
    <w:rsid w:val="00D16517"/>
    <w:rsid w:val="00D16AEA"/>
    <w:rsid w:val="00D172B6"/>
    <w:rsid w:val="00D21B00"/>
    <w:rsid w:val="00D22C28"/>
    <w:rsid w:val="00D23879"/>
    <w:rsid w:val="00D2606A"/>
    <w:rsid w:val="00D27CF4"/>
    <w:rsid w:val="00D31B2F"/>
    <w:rsid w:val="00D32DEB"/>
    <w:rsid w:val="00D358E4"/>
    <w:rsid w:val="00D376EF"/>
    <w:rsid w:val="00D37EE6"/>
    <w:rsid w:val="00D4336C"/>
    <w:rsid w:val="00D43BC4"/>
    <w:rsid w:val="00D44F29"/>
    <w:rsid w:val="00D4550B"/>
    <w:rsid w:val="00D510A4"/>
    <w:rsid w:val="00D51112"/>
    <w:rsid w:val="00D51353"/>
    <w:rsid w:val="00D53181"/>
    <w:rsid w:val="00D531D1"/>
    <w:rsid w:val="00D53B03"/>
    <w:rsid w:val="00D54DAF"/>
    <w:rsid w:val="00D55E78"/>
    <w:rsid w:val="00D56CAF"/>
    <w:rsid w:val="00D57C38"/>
    <w:rsid w:val="00D60EC1"/>
    <w:rsid w:val="00D6231A"/>
    <w:rsid w:val="00D6439D"/>
    <w:rsid w:val="00D6758F"/>
    <w:rsid w:val="00D7225C"/>
    <w:rsid w:val="00D72F13"/>
    <w:rsid w:val="00D73FAD"/>
    <w:rsid w:val="00D75127"/>
    <w:rsid w:val="00D757A1"/>
    <w:rsid w:val="00D7708E"/>
    <w:rsid w:val="00D80088"/>
    <w:rsid w:val="00D82100"/>
    <w:rsid w:val="00D82D08"/>
    <w:rsid w:val="00D907D5"/>
    <w:rsid w:val="00D9178D"/>
    <w:rsid w:val="00D91D7C"/>
    <w:rsid w:val="00D91D7E"/>
    <w:rsid w:val="00D92DE3"/>
    <w:rsid w:val="00D95852"/>
    <w:rsid w:val="00D95C4B"/>
    <w:rsid w:val="00D97076"/>
    <w:rsid w:val="00DA3F43"/>
    <w:rsid w:val="00DA4B6C"/>
    <w:rsid w:val="00DA5226"/>
    <w:rsid w:val="00DA627D"/>
    <w:rsid w:val="00DA64E9"/>
    <w:rsid w:val="00DA65E4"/>
    <w:rsid w:val="00DB0484"/>
    <w:rsid w:val="00DB26D2"/>
    <w:rsid w:val="00DB342A"/>
    <w:rsid w:val="00DB6A7E"/>
    <w:rsid w:val="00DC4365"/>
    <w:rsid w:val="00DC511F"/>
    <w:rsid w:val="00DC613D"/>
    <w:rsid w:val="00DC6F8E"/>
    <w:rsid w:val="00DC7607"/>
    <w:rsid w:val="00DD24EE"/>
    <w:rsid w:val="00DD3CAE"/>
    <w:rsid w:val="00DD3D23"/>
    <w:rsid w:val="00DD4663"/>
    <w:rsid w:val="00DD5F19"/>
    <w:rsid w:val="00DD6C75"/>
    <w:rsid w:val="00DD7FAD"/>
    <w:rsid w:val="00DE25DD"/>
    <w:rsid w:val="00DE3298"/>
    <w:rsid w:val="00DE613A"/>
    <w:rsid w:val="00DE6DB6"/>
    <w:rsid w:val="00DE6E05"/>
    <w:rsid w:val="00DF0FD5"/>
    <w:rsid w:val="00DF20A1"/>
    <w:rsid w:val="00DF3B9A"/>
    <w:rsid w:val="00DF4C4C"/>
    <w:rsid w:val="00DF50C1"/>
    <w:rsid w:val="00DF77E8"/>
    <w:rsid w:val="00DF7B3A"/>
    <w:rsid w:val="00DF7CF8"/>
    <w:rsid w:val="00E0089E"/>
    <w:rsid w:val="00E00990"/>
    <w:rsid w:val="00E0110A"/>
    <w:rsid w:val="00E02806"/>
    <w:rsid w:val="00E02930"/>
    <w:rsid w:val="00E03696"/>
    <w:rsid w:val="00E04F42"/>
    <w:rsid w:val="00E05C4A"/>
    <w:rsid w:val="00E075A1"/>
    <w:rsid w:val="00E07761"/>
    <w:rsid w:val="00E10517"/>
    <w:rsid w:val="00E14DC8"/>
    <w:rsid w:val="00E14E2E"/>
    <w:rsid w:val="00E16FE0"/>
    <w:rsid w:val="00E2247F"/>
    <w:rsid w:val="00E22F48"/>
    <w:rsid w:val="00E26CF1"/>
    <w:rsid w:val="00E30623"/>
    <w:rsid w:val="00E3084B"/>
    <w:rsid w:val="00E31080"/>
    <w:rsid w:val="00E32CC3"/>
    <w:rsid w:val="00E33CD0"/>
    <w:rsid w:val="00E3598A"/>
    <w:rsid w:val="00E368A4"/>
    <w:rsid w:val="00E36EF9"/>
    <w:rsid w:val="00E376E6"/>
    <w:rsid w:val="00E4077E"/>
    <w:rsid w:val="00E4450F"/>
    <w:rsid w:val="00E44F4D"/>
    <w:rsid w:val="00E46A0D"/>
    <w:rsid w:val="00E5518E"/>
    <w:rsid w:val="00E602E0"/>
    <w:rsid w:val="00E60FEB"/>
    <w:rsid w:val="00E61C5F"/>
    <w:rsid w:val="00E671F1"/>
    <w:rsid w:val="00E7254F"/>
    <w:rsid w:val="00E7334A"/>
    <w:rsid w:val="00E742FD"/>
    <w:rsid w:val="00E75363"/>
    <w:rsid w:val="00E80AB4"/>
    <w:rsid w:val="00E836A7"/>
    <w:rsid w:val="00E8630B"/>
    <w:rsid w:val="00E90C55"/>
    <w:rsid w:val="00E944ED"/>
    <w:rsid w:val="00E951F6"/>
    <w:rsid w:val="00E95DD9"/>
    <w:rsid w:val="00EA034B"/>
    <w:rsid w:val="00EA0559"/>
    <w:rsid w:val="00EA28B5"/>
    <w:rsid w:val="00EA344B"/>
    <w:rsid w:val="00EA4EC2"/>
    <w:rsid w:val="00EA5D70"/>
    <w:rsid w:val="00EA606B"/>
    <w:rsid w:val="00EB002E"/>
    <w:rsid w:val="00EB10EF"/>
    <w:rsid w:val="00EB1448"/>
    <w:rsid w:val="00EB1AEF"/>
    <w:rsid w:val="00EB1EC9"/>
    <w:rsid w:val="00EB20A8"/>
    <w:rsid w:val="00EB26DD"/>
    <w:rsid w:val="00EB657C"/>
    <w:rsid w:val="00EB6BD3"/>
    <w:rsid w:val="00EB7273"/>
    <w:rsid w:val="00EB7B29"/>
    <w:rsid w:val="00EC53A9"/>
    <w:rsid w:val="00EC6204"/>
    <w:rsid w:val="00EC68DC"/>
    <w:rsid w:val="00EC7843"/>
    <w:rsid w:val="00ED0115"/>
    <w:rsid w:val="00ED25A3"/>
    <w:rsid w:val="00ED3E61"/>
    <w:rsid w:val="00ED521C"/>
    <w:rsid w:val="00ED5B51"/>
    <w:rsid w:val="00ED73C3"/>
    <w:rsid w:val="00EE02BA"/>
    <w:rsid w:val="00EE067A"/>
    <w:rsid w:val="00EE2AB9"/>
    <w:rsid w:val="00EE2C5D"/>
    <w:rsid w:val="00EE51B8"/>
    <w:rsid w:val="00EE7D2D"/>
    <w:rsid w:val="00EF08C5"/>
    <w:rsid w:val="00EF0B09"/>
    <w:rsid w:val="00EF1F19"/>
    <w:rsid w:val="00EF4408"/>
    <w:rsid w:val="00EF46E8"/>
    <w:rsid w:val="00EF5A36"/>
    <w:rsid w:val="00EF7A7D"/>
    <w:rsid w:val="00F00D38"/>
    <w:rsid w:val="00F01F85"/>
    <w:rsid w:val="00F03060"/>
    <w:rsid w:val="00F0417E"/>
    <w:rsid w:val="00F0519D"/>
    <w:rsid w:val="00F058B6"/>
    <w:rsid w:val="00F06296"/>
    <w:rsid w:val="00F07C41"/>
    <w:rsid w:val="00F12494"/>
    <w:rsid w:val="00F13499"/>
    <w:rsid w:val="00F14075"/>
    <w:rsid w:val="00F14AB5"/>
    <w:rsid w:val="00F1506F"/>
    <w:rsid w:val="00F15A08"/>
    <w:rsid w:val="00F161E3"/>
    <w:rsid w:val="00F161E9"/>
    <w:rsid w:val="00F171E3"/>
    <w:rsid w:val="00F20C95"/>
    <w:rsid w:val="00F20D8E"/>
    <w:rsid w:val="00F219A5"/>
    <w:rsid w:val="00F222D1"/>
    <w:rsid w:val="00F22A45"/>
    <w:rsid w:val="00F2479B"/>
    <w:rsid w:val="00F262A8"/>
    <w:rsid w:val="00F30110"/>
    <w:rsid w:val="00F31087"/>
    <w:rsid w:val="00F31FD3"/>
    <w:rsid w:val="00F32B07"/>
    <w:rsid w:val="00F33C00"/>
    <w:rsid w:val="00F362FD"/>
    <w:rsid w:val="00F40757"/>
    <w:rsid w:val="00F415C6"/>
    <w:rsid w:val="00F44A82"/>
    <w:rsid w:val="00F500AB"/>
    <w:rsid w:val="00F50ED6"/>
    <w:rsid w:val="00F5189D"/>
    <w:rsid w:val="00F532F5"/>
    <w:rsid w:val="00F535F3"/>
    <w:rsid w:val="00F53E3A"/>
    <w:rsid w:val="00F54797"/>
    <w:rsid w:val="00F56B43"/>
    <w:rsid w:val="00F57B03"/>
    <w:rsid w:val="00F62701"/>
    <w:rsid w:val="00F62AB8"/>
    <w:rsid w:val="00F63DC5"/>
    <w:rsid w:val="00F641DD"/>
    <w:rsid w:val="00F646C2"/>
    <w:rsid w:val="00F64CFF"/>
    <w:rsid w:val="00F6563F"/>
    <w:rsid w:val="00F67D5A"/>
    <w:rsid w:val="00F70F33"/>
    <w:rsid w:val="00F715E2"/>
    <w:rsid w:val="00F731E0"/>
    <w:rsid w:val="00F76789"/>
    <w:rsid w:val="00F76E4D"/>
    <w:rsid w:val="00F8324B"/>
    <w:rsid w:val="00F85480"/>
    <w:rsid w:val="00F85DE8"/>
    <w:rsid w:val="00F86BF6"/>
    <w:rsid w:val="00F93DF1"/>
    <w:rsid w:val="00F95218"/>
    <w:rsid w:val="00F96880"/>
    <w:rsid w:val="00F971BB"/>
    <w:rsid w:val="00F972C1"/>
    <w:rsid w:val="00FA2613"/>
    <w:rsid w:val="00FA2800"/>
    <w:rsid w:val="00FA2B69"/>
    <w:rsid w:val="00FA34F5"/>
    <w:rsid w:val="00FA39D0"/>
    <w:rsid w:val="00FA4D66"/>
    <w:rsid w:val="00FA5ABE"/>
    <w:rsid w:val="00FA6025"/>
    <w:rsid w:val="00FA67BB"/>
    <w:rsid w:val="00FA6D3E"/>
    <w:rsid w:val="00FA7B28"/>
    <w:rsid w:val="00FB1CF7"/>
    <w:rsid w:val="00FB2DE0"/>
    <w:rsid w:val="00FB3D2F"/>
    <w:rsid w:val="00FB528D"/>
    <w:rsid w:val="00FB6CCC"/>
    <w:rsid w:val="00FB71EB"/>
    <w:rsid w:val="00FC1706"/>
    <w:rsid w:val="00FC60BB"/>
    <w:rsid w:val="00FC6CED"/>
    <w:rsid w:val="00FD075F"/>
    <w:rsid w:val="00FD082F"/>
    <w:rsid w:val="00FD1619"/>
    <w:rsid w:val="00FD2429"/>
    <w:rsid w:val="00FD33CE"/>
    <w:rsid w:val="00FD3962"/>
    <w:rsid w:val="00FD4AFD"/>
    <w:rsid w:val="00FD7DB6"/>
    <w:rsid w:val="00FE2520"/>
    <w:rsid w:val="00FE28DC"/>
    <w:rsid w:val="00FE2C34"/>
    <w:rsid w:val="00FE2D07"/>
    <w:rsid w:val="00FE543F"/>
    <w:rsid w:val="00FE6262"/>
    <w:rsid w:val="00FF2040"/>
    <w:rsid w:val="00FF2448"/>
    <w:rsid w:val="00FF4AD0"/>
    <w:rsid w:val="00FF7181"/>
    <w:rsid w:val="00FF769D"/>
    <w:rsid w:val="00FF76CC"/>
    <w:rsid w:val="00FF7C0E"/>
  </w:rsids>
  <m:mathPr>
    <m:mathFont m:val="Cambria Math"/>
    <m:brkBin m:val="before"/>
    <m:brkBinSub m:val="--"/>
    <m:smallFrac m:val="off"/>
    <m:dispDef/>
    <m:lMargin m:val="0"/>
    <m:rMargin m:val="0"/>
    <m:defJc m:val="centerGroup"/>
    <m:wrapIndent m:val="1440"/>
    <m:intLim m:val="subSup"/>
    <m:naryLim m:val="undOvr"/>
  </m:mathPr>
  <w:uiCompat97To2003/>
  <w:themeFontLang w:val="bg-BG"/>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bg-BG" w:eastAsia="bg-BG"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note text" w:locked="1" w:semiHidden="0" w:uiPriority="0" w:unhideWhenUsed="0"/>
    <w:lsdException w:name="caption" w:locked="1" w:semiHidden="0" w:uiPriority="0" w:unhideWhenUsed="0" w:qFormat="1"/>
    <w:lsdException w:name="footnote reference" w:locked="1" w:semiHidden="0" w:uiPriority="0" w:unhideWhenUsed="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31A1"/>
    <w:rPr>
      <w:sz w:val="24"/>
      <w:szCs w:val="24"/>
    </w:rPr>
  </w:style>
  <w:style w:type="paragraph" w:styleId="Heading1">
    <w:name w:val="heading 1"/>
    <w:basedOn w:val="Normal"/>
    <w:next w:val="Normal"/>
    <w:link w:val="Heading1Char1"/>
    <w:uiPriority w:val="99"/>
    <w:qFormat/>
    <w:locked/>
    <w:rsid w:val="00A655C9"/>
    <w:pPr>
      <w:keepNext/>
      <w:numPr>
        <w:numId w:val="3"/>
      </w:numPr>
      <w:spacing w:before="360" w:after="120"/>
      <w:jc w:val="both"/>
      <w:outlineLvl w:val="0"/>
    </w:pPr>
    <w:rPr>
      <w:b/>
      <w:smallCaps/>
      <w:sz w:val="32"/>
      <w:szCs w:val="20"/>
      <w:lang w:val="en-GB" w:eastAsia="en-US"/>
    </w:rPr>
  </w:style>
  <w:style w:type="paragraph" w:styleId="Heading2">
    <w:name w:val="heading 2"/>
    <w:basedOn w:val="Normal"/>
    <w:next w:val="Normal"/>
    <w:link w:val="Heading2Char"/>
    <w:uiPriority w:val="99"/>
    <w:qFormat/>
    <w:locked/>
    <w:rsid w:val="00A655C9"/>
    <w:pPr>
      <w:keepNext/>
      <w:numPr>
        <w:ilvl w:val="1"/>
        <w:numId w:val="3"/>
      </w:numPr>
      <w:spacing w:before="120" w:after="120"/>
      <w:jc w:val="both"/>
      <w:outlineLvl w:val="1"/>
    </w:pPr>
    <w:rPr>
      <w:b/>
      <w:bCs/>
      <w:iCs/>
      <w:szCs w:val="28"/>
      <w:lang w:val="en-GB" w:eastAsia="en-US"/>
    </w:rPr>
  </w:style>
  <w:style w:type="paragraph" w:styleId="Heading3">
    <w:name w:val="heading 3"/>
    <w:basedOn w:val="Normal"/>
    <w:next w:val="Normal"/>
    <w:link w:val="Heading3Char"/>
    <w:uiPriority w:val="99"/>
    <w:qFormat/>
    <w:locked/>
    <w:rsid w:val="00A655C9"/>
    <w:pPr>
      <w:keepNext/>
      <w:numPr>
        <w:ilvl w:val="2"/>
        <w:numId w:val="3"/>
      </w:numPr>
      <w:spacing w:before="120" w:after="120"/>
      <w:jc w:val="both"/>
      <w:outlineLvl w:val="2"/>
    </w:pPr>
    <w:rPr>
      <w:bCs/>
      <w:i/>
      <w:szCs w:val="26"/>
      <w:lang w:val="en-GB" w:eastAsia="en-US"/>
    </w:rPr>
  </w:style>
  <w:style w:type="paragraph" w:styleId="Heading4">
    <w:name w:val="heading 4"/>
    <w:basedOn w:val="Normal"/>
    <w:next w:val="Normal"/>
    <w:link w:val="Heading4Char"/>
    <w:uiPriority w:val="99"/>
    <w:qFormat/>
    <w:locked/>
    <w:rsid w:val="00A655C9"/>
    <w:pPr>
      <w:keepNext/>
      <w:numPr>
        <w:ilvl w:val="3"/>
        <w:numId w:val="3"/>
      </w:numPr>
      <w:spacing w:before="120" w:after="120"/>
      <w:jc w:val="both"/>
      <w:outlineLvl w:val="3"/>
    </w:pPr>
    <w:rPr>
      <w:bCs/>
      <w:szCs w:val="28"/>
      <w:lang w:val="en-GB"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F500AB"/>
    <w:rPr>
      <w:rFonts w:ascii="Cambria" w:hAnsi="Cambria" w:cs="Times New Roman"/>
      <w:b/>
      <w:bCs/>
      <w:kern w:val="32"/>
      <w:sz w:val="32"/>
      <w:szCs w:val="32"/>
    </w:rPr>
  </w:style>
  <w:style w:type="character" w:customStyle="1" w:styleId="Heading2Char">
    <w:name w:val="Heading 2 Char"/>
    <w:basedOn w:val="DefaultParagraphFont"/>
    <w:link w:val="Heading2"/>
    <w:uiPriority w:val="99"/>
    <w:semiHidden/>
    <w:locked/>
    <w:rsid w:val="00F500AB"/>
    <w:rPr>
      <w:rFonts w:ascii="Cambria" w:hAnsi="Cambria" w:cs="Times New Roman"/>
      <w:b/>
      <w:bCs/>
      <w:i/>
      <w:iCs/>
      <w:sz w:val="28"/>
      <w:szCs w:val="28"/>
    </w:rPr>
  </w:style>
  <w:style w:type="character" w:customStyle="1" w:styleId="Heading3Char">
    <w:name w:val="Heading 3 Char"/>
    <w:basedOn w:val="DefaultParagraphFont"/>
    <w:link w:val="Heading3"/>
    <w:uiPriority w:val="99"/>
    <w:semiHidden/>
    <w:locked/>
    <w:rsid w:val="00F500AB"/>
    <w:rPr>
      <w:rFonts w:ascii="Cambria" w:hAnsi="Cambria" w:cs="Times New Roman"/>
      <w:b/>
      <w:bCs/>
      <w:sz w:val="26"/>
      <w:szCs w:val="26"/>
    </w:rPr>
  </w:style>
  <w:style w:type="character" w:customStyle="1" w:styleId="Heading4Char">
    <w:name w:val="Heading 4 Char"/>
    <w:basedOn w:val="DefaultParagraphFont"/>
    <w:link w:val="Heading4"/>
    <w:uiPriority w:val="99"/>
    <w:semiHidden/>
    <w:locked/>
    <w:rsid w:val="00F500AB"/>
    <w:rPr>
      <w:rFonts w:ascii="Calibri" w:hAnsi="Calibri" w:cs="Times New Roman"/>
      <w:b/>
      <w:bCs/>
      <w:sz w:val="28"/>
      <w:szCs w:val="28"/>
    </w:rPr>
  </w:style>
  <w:style w:type="paragraph" w:customStyle="1" w:styleId="Default">
    <w:name w:val="Default"/>
    <w:uiPriority w:val="99"/>
    <w:rsid w:val="005064D2"/>
    <w:pPr>
      <w:autoSpaceDE w:val="0"/>
      <w:autoSpaceDN w:val="0"/>
      <w:adjustRightInd w:val="0"/>
    </w:pPr>
    <w:rPr>
      <w:color w:val="000000"/>
      <w:sz w:val="24"/>
      <w:szCs w:val="24"/>
    </w:rPr>
  </w:style>
  <w:style w:type="character" w:styleId="Hyperlink">
    <w:name w:val="Hyperlink"/>
    <w:basedOn w:val="DefaultParagraphFont"/>
    <w:uiPriority w:val="99"/>
    <w:rsid w:val="00BA2965"/>
    <w:rPr>
      <w:rFonts w:cs="Times New Roman"/>
      <w:color w:val="0000FF"/>
      <w:u w:val="single"/>
    </w:rPr>
  </w:style>
  <w:style w:type="character" w:styleId="Emphasis">
    <w:name w:val="Emphasis"/>
    <w:basedOn w:val="DefaultParagraphFont"/>
    <w:uiPriority w:val="99"/>
    <w:qFormat/>
    <w:locked/>
    <w:rsid w:val="00C938B6"/>
    <w:rPr>
      <w:rFonts w:cs="Times New Roman"/>
      <w:i/>
      <w:iCs/>
    </w:rPr>
  </w:style>
  <w:style w:type="character" w:styleId="Strong">
    <w:name w:val="Strong"/>
    <w:basedOn w:val="DefaultParagraphFont"/>
    <w:uiPriority w:val="99"/>
    <w:qFormat/>
    <w:locked/>
    <w:rsid w:val="00C938B6"/>
    <w:rPr>
      <w:rFonts w:cs="Times New Roman"/>
      <w:b/>
      <w:bCs/>
    </w:rPr>
  </w:style>
  <w:style w:type="paragraph" w:styleId="BalloonText">
    <w:name w:val="Balloon Text"/>
    <w:basedOn w:val="Normal"/>
    <w:link w:val="BalloonTextChar"/>
    <w:uiPriority w:val="99"/>
    <w:semiHidden/>
    <w:rsid w:val="002D1741"/>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2D1741"/>
    <w:rPr>
      <w:rFonts w:ascii="Tahoma" w:hAnsi="Tahoma" w:cs="Tahoma"/>
      <w:sz w:val="16"/>
      <w:szCs w:val="16"/>
    </w:rPr>
  </w:style>
  <w:style w:type="paragraph" w:styleId="Header">
    <w:name w:val="header"/>
    <w:basedOn w:val="Normal"/>
    <w:link w:val="HeaderChar"/>
    <w:uiPriority w:val="99"/>
    <w:rsid w:val="00687F07"/>
    <w:pPr>
      <w:tabs>
        <w:tab w:val="center" w:pos="4536"/>
        <w:tab w:val="right" w:pos="9072"/>
      </w:tabs>
    </w:pPr>
  </w:style>
  <w:style w:type="character" w:customStyle="1" w:styleId="HeaderChar">
    <w:name w:val="Header Char"/>
    <w:basedOn w:val="DefaultParagraphFont"/>
    <w:link w:val="Header"/>
    <w:uiPriority w:val="99"/>
    <w:locked/>
    <w:rsid w:val="00687F07"/>
    <w:rPr>
      <w:rFonts w:cs="Times New Roman"/>
      <w:sz w:val="24"/>
      <w:szCs w:val="24"/>
    </w:rPr>
  </w:style>
  <w:style w:type="paragraph" w:styleId="Footer">
    <w:name w:val="footer"/>
    <w:basedOn w:val="Normal"/>
    <w:link w:val="FooterChar"/>
    <w:uiPriority w:val="99"/>
    <w:rsid w:val="00687F07"/>
    <w:pPr>
      <w:tabs>
        <w:tab w:val="center" w:pos="4536"/>
        <w:tab w:val="right" w:pos="9072"/>
      </w:tabs>
    </w:pPr>
  </w:style>
  <w:style w:type="character" w:customStyle="1" w:styleId="FooterChar">
    <w:name w:val="Footer Char"/>
    <w:basedOn w:val="DefaultParagraphFont"/>
    <w:link w:val="Footer"/>
    <w:uiPriority w:val="99"/>
    <w:locked/>
    <w:rsid w:val="00687F07"/>
    <w:rPr>
      <w:rFonts w:cs="Times New Roman"/>
      <w:sz w:val="24"/>
      <w:szCs w:val="24"/>
    </w:rPr>
  </w:style>
  <w:style w:type="paragraph" w:styleId="DocumentMap">
    <w:name w:val="Document Map"/>
    <w:basedOn w:val="Normal"/>
    <w:link w:val="DocumentMapChar"/>
    <w:uiPriority w:val="99"/>
    <w:semiHidden/>
    <w:rsid w:val="00B97EBA"/>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locked/>
    <w:rsid w:val="009F1DD6"/>
    <w:rPr>
      <w:rFonts w:cs="Times New Roman"/>
      <w:sz w:val="2"/>
    </w:rPr>
  </w:style>
  <w:style w:type="character" w:styleId="PageNumber">
    <w:name w:val="page number"/>
    <w:basedOn w:val="DefaultParagraphFont"/>
    <w:uiPriority w:val="99"/>
    <w:rsid w:val="006F6E2C"/>
    <w:rPr>
      <w:rFonts w:cs="Times New Roman"/>
    </w:rPr>
  </w:style>
  <w:style w:type="paragraph" w:styleId="FootnoteText">
    <w:name w:val="footnote text"/>
    <w:basedOn w:val="Normal"/>
    <w:link w:val="FootnoteTextChar"/>
    <w:uiPriority w:val="99"/>
    <w:semiHidden/>
    <w:rsid w:val="00976365"/>
    <w:rPr>
      <w:sz w:val="20"/>
      <w:szCs w:val="20"/>
    </w:rPr>
  </w:style>
  <w:style w:type="character" w:customStyle="1" w:styleId="FootnoteTextChar">
    <w:name w:val="Footnote Text Char"/>
    <w:basedOn w:val="DefaultParagraphFont"/>
    <w:link w:val="FootnoteText"/>
    <w:uiPriority w:val="99"/>
    <w:semiHidden/>
    <w:locked/>
    <w:rsid w:val="00976365"/>
    <w:rPr>
      <w:rFonts w:cs="Times New Roman"/>
      <w:sz w:val="20"/>
      <w:szCs w:val="20"/>
    </w:rPr>
  </w:style>
  <w:style w:type="character" w:styleId="FootnoteReference">
    <w:name w:val="footnote reference"/>
    <w:aliases w:val="Nota,fr,o,Style 6,(NECG) Footnote Reference,Footnote,Footnote symbol,Voetnootverwijzing,Appel note de bas de p,Style 12,Style 124,Footnote number,Footnotemark,FR,Footnotemark1,Footnotemark2,FR1,Footnotemark3,FR2,Footnotemark4,FR3,FR4"/>
    <w:basedOn w:val="DefaultParagraphFont"/>
    <w:uiPriority w:val="99"/>
    <w:semiHidden/>
    <w:rsid w:val="00976365"/>
    <w:rPr>
      <w:rFonts w:cs="Times New Roman"/>
      <w:vertAlign w:val="superscript"/>
    </w:rPr>
  </w:style>
  <w:style w:type="paragraph" w:styleId="ListParagraph">
    <w:name w:val="List Paragraph"/>
    <w:basedOn w:val="Normal"/>
    <w:uiPriority w:val="99"/>
    <w:qFormat/>
    <w:rsid w:val="00F31087"/>
    <w:pPr>
      <w:ind w:left="720"/>
      <w:contextualSpacing/>
    </w:pPr>
  </w:style>
  <w:style w:type="paragraph" w:styleId="Caption">
    <w:name w:val="caption"/>
    <w:basedOn w:val="Normal"/>
    <w:next w:val="Normal"/>
    <w:uiPriority w:val="99"/>
    <w:qFormat/>
    <w:locked/>
    <w:rsid w:val="00CE5E98"/>
    <w:pPr>
      <w:spacing w:before="120" w:after="120"/>
      <w:jc w:val="both"/>
    </w:pPr>
    <w:rPr>
      <w:b/>
      <w:bCs/>
      <w:sz w:val="20"/>
      <w:szCs w:val="20"/>
      <w:lang w:val="en-GB" w:eastAsia="en-US"/>
    </w:rPr>
  </w:style>
  <w:style w:type="character" w:customStyle="1" w:styleId="CharChar4">
    <w:name w:val="Char Char4"/>
    <w:uiPriority w:val="99"/>
    <w:semiHidden/>
    <w:rsid w:val="00A655C9"/>
    <w:rPr>
      <w:lang w:val="en-GB" w:eastAsia="en-US"/>
    </w:rPr>
  </w:style>
  <w:style w:type="character" w:customStyle="1" w:styleId="Heading1Char1">
    <w:name w:val="Heading 1 Char1"/>
    <w:link w:val="Heading1"/>
    <w:uiPriority w:val="99"/>
    <w:locked/>
    <w:rsid w:val="00A655C9"/>
    <w:rPr>
      <w:b/>
      <w:smallCaps/>
      <w:sz w:val="32"/>
      <w:lang w:val="en-GB" w:eastAsia="en-US"/>
    </w:rPr>
  </w:style>
</w:styles>
</file>

<file path=word/webSettings.xml><?xml version="1.0" encoding="utf-8"?>
<w:webSettings xmlns:r="http://schemas.openxmlformats.org/officeDocument/2006/relationships" xmlns:w="http://schemas.openxmlformats.org/wordprocessingml/2006/main">
  <w:divs>
    <w:div w:id="1900243302">
      <w:marLeft w:val="0"/>
      <w:marRight w:val="0"/>
      <w:marTop w:val="0"/>
      <w:marBottom w:val="0"/>
      <w:divBdr>
        <w:top w:val="none" w:sz="0" w:space="0" w:color="auto"/>
        <w:left w:val="none" w:sz="0" w:space="0" w:color="auto"/>
        <w:bottom w:val="none" w:sz="0" w:space="0" w:color="auto"/>
        <w:right w:val="none" w:sz="0" w:space="0" w:color="auto"/>
      </w:divBdr>
      <w:divsChild>
        <w:div w:id="1900243294">
          <w:marLeft w:val="0"/>
          <w:marRight w:val="0"/>
          <w:marTop w:val="0"/>
          <w:marBottom w:val="0"/>
          <w:divBdr>
            <w:top w:val="none" w:sz="0" w:space="0" w:color="auto"/>
            <w:left w:val="none" w:sz="0" w:space="0" w:color="auto"/>
            <w:bottom w:val="none" w:sz="0" w:space="0" w:color="auto"/>
            <w:right w:val="none" w:sz="0" w:space="0" w:color="auto"/>
          </w:divBdr>
          <w:divsChild>
            <w:div w:id="1900243290">
              <w:marLeft w:val="0"/>
              <w:marRight w:val="0"/>
              <w:marTop w:val="0"/>
              <w:marBottom w:val="0"/>
              <w:divBdr>
                <w:top w:val="none" w:sz="0" w:space="0" w:color="auto"/>
                <w:left w:val="none" w:sz="0" w:space="0" w:color="auto"/>
                <w:bottom w:val="none" w:sz="0" w:space="0" w:color="auto"/>
                <w:right w:val="none" w:sz="0" w:space="0" w:color="auto"/>
              </w:divBdr>
              <w:divsChild>
                <w:div w:id="1900243303">
                  <w:marLeft w:val="0"/>
                  <w:marRight w:val="0"/>
                  <w:marTop w:val="0"/>
                  <w:marBottom w:val="0"/>
                  <w:divBdr>
                    <w:top w:val="none" w:sz="0" w:space="0" w:color="auto"/>
                    <w:left w:val="none" w:sz="0" w:space="0" w:color="auto"/>
                    <w:bottom w:val="none" w:sz="0" w:space="0" w:color="auto"/>
                    <w:right w:val="none" w:sz="0" w:space="0" w:color="auto"/>
                  </w:divBdr>
                  <w:divsChild>
                    <w:div w:id="1900243306">
                      <w:marLeft w:val="0"/>
                      <w:marRight w:val="0"/>
                      <w:marTop w:val="0"/>
                      <w:marBottom w:val="0"/>
                      <w:divBdr>
                        <w:top w:val="none" w:sz="0" w:space="0" w:color="auto"/>
                        <w:left w:val="none" w:sz="0" w:space="0" w:color="auto"/>
                        <w:bottom w:val="none" w:sz="0" w:space="0" w:color="auto"/>
                        <w:right w:val="none" w:sz="0" w:space="0" w:color="auto"/>
                      </w:divBdr>
                      <w:divsChild>
                        <w:div w:id="1900243289">
                          <w:marLeft w:val="0"/>
                          <w:marRight w:val="0"/>
                          <w:marTop w:val="0"/>
                          <w:marBottom w:val="0"/>
                          <w:divBdr>
                            <w:top w:val="none" w:sz="0" w:space="0" w:color="auto"/>
                            <w:left w:val="none" w:sz="0" w:space="0" w:color="auto"/>
                            <w:bottom w:val="none" w:sz="0" w:space="0" w:color="auto"/>
                            <w:right w:val="none" w:sz="0" w:space="0" w:color="auto"/>
                          </w:divBdr>
                          <w:divsChild>
                            <w:div w:id="1900243298">
                              <w:marLeft w:val="0"/>
                              <w:marRight w:val="0"/>
                              <w:marTop w:val="0"/>
                              <w:marBottom w:val="0"/>
                              <w:divBdr>
                                <w:top w:val="none" w:sz="0" w:space="0" w:color="auto"/>
                                <w:left w:val="none" w:sz="0" w:space="0" w:color="auto"/>
                                <w:bottom w:val="none" w:sz="0" w:space="0" w:color="auto"/>
                                <w:right w:val="none" w:sz="0" w:space="0" w:color="auto"/>
                              </w:divBdr>
                              <w:divsChild>
                                <w:div w:id="1900243301">
                                  <w:marLeft w:val="0"/>
                                  <w:marRight w:val="0"/>
                                  <w:marTop w:val="0"/>
                                  <w:marBottom w:val="0"/>
                                  <w:divBdr>
                                    <w:top w:val="none" w:sz="0" w:space="0" w:color="auto"/>
                                    <w:left w:val="none" w:sz="0" w:space="0" w:color="auto"/>
                                    <w:bottom w:val="none" w:sz="0" w:space="0" w:color="auto"/>
                                    <w:right w:val="none" w:sz="0" w:space="0" w:color="auto"/>
                                  </w:divBdr>
                                  <w:divsChild>
                                    <w:div w:id="1900243308">
                                      <w:marLeft w:val="0"/>
                                      <w:marRight w:val="0"/>
                                      <w:marTop w:val="0"/>
                                      <w:marBottom w:val="0"/>
                                      <w:divBdr>
                                        <w:top w:val="none" w:sz="0" w:space="0" w:color="auto"/>
                                        <w:left w:val="none" w:sz="0" w:space="0" w:color="auto"/>
                                        <w:bottom w:val="none" w:sz="0" w:space="0" w:color="auto"/>
                                        <w:right w:val="none" w:sz="0" w:space="0" w:color="auto"/>
                                      </w:divBdr>
                                      <w:divsChild>
                                        <w:div w:id="1900243297">
                                          <w:marLeft w:val="0"/>
                                          <w:marRight w:val="0"/>
                                          <w:marTop w:val="0"/>
                                          <w:marBottom w:val="0"/>
                                          <w:divBdr>
                                            <w:top w:val="none" w:sz="0" w:space="0" w:color="auto"/>
                                            <w:left w:val="none" w:sz="0" w:space="0" w:color="auto"/>
                                            <w:bottom w:val="none" w:sz="0" w:space="0" w:color="auto"/>
                                            <w:right w:val="none" w:sz="0" w:space="0" w:color="auto"/>
                                          </w:divBdr>
                                          <w:divsChild>
                                            <w:div w:id="1900243299">
                                              <w:marLeft w:val="0"/>
                                              <w:marRight w:val="0"/>
                                              <w:marTop w:val="0"/>
                                              <w:marBottom w:val="120"/>
                                              <w:divBdr>
                                                <w:top w:val="single" w:sz="6" w:space="0" w:color="F5F5F5"/>
                                                <w:left w:val="single" w:sz="6" w:space="0" w:color="F5F5F5"/>
                                                <w:bottom w:val="single" w:sz="6" w:space="0" w:color="F5F5F5"/>
                                                <w:right w:val="single" w:sz="6" w:space="0" w:color="F5F5F5"/>
                                              </w:divBdr>
                                              <w:divsChild>
                                                <w:div w:id="1900243305">
                                                  <w:marLeft w:val="0"/>
                                                  <w:marRight w:val="0"/>
                                                  <w:marTop w:val="0"/>
                                                  <w:marBottom w:val="0"/>
                                                  <w:divBdr>
                                                    <w:top w:val="none" w:sz="0" w:space="0" w:color="auto"/>
                                                    <w:left w:val="none" w:sz="0" w:space="0" w:color="auto"/>
                                                    <w:bottom w:val="none" w:sz="0" w:space="0" w:color="auto"/>
                                                    <w:right w:val="none" w:sz="0" w:space="0" w:color="auto"/>
                                                  </w:divBdr>
                                                  <w:divsChild>
                                                    <w:div w:id="1900243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900243310">
      <w:marLeft w:val="0"/>
      <w:marRight w:val="0"/>
      <w:marTop w:val="0"/>
      <w:marBottom w:val="0"/>
      <w:divBdr>
        <w:top w:val="none" w:sz="0" w:space="0" w:color="auto"/>
        <w:left w:val="none" w:sz="0" w:space="0" w:color="auto"/>
        <w:bottom w:val="none" w:sz="0" w:space="0" w:color="auto"/>
        <w:right w:val="none" w:sz="0" w:space="0" w:color="auto"/>
      </w:divBdr>
      <w:divsChild>
        <w:div w:id="1900243307">
          <w:marLeft w:val="0"/>
          <w:marRight w:val="0"/>
          <w:marTop w:val="0"/>
          <w:marBottom w:val="0"/>
          <w:divBdr>
            <w:top w:val="none" w:sz="0" w:space="0" w:color="auto"/>
            <w:left w:val="none" w:sz="0" w:space="0" w:color="auto"/>
            <w:bottom w:val="none" w:sz="0" w:space="0" w:color="auto"/>
            <w:right w:val="none" w:sz="0" w:space="0" w:color="auto"/>
          </w:divBdr>
          <w:divsChild>
            <w:div w:id="1900243309">
              <w:marLeft w:val="0"/>
              <w:marRight w:val="0"/>
              <w:marTop w:val="0"/>
              <w:marBottom w:val="0"/>
              <w:divBdr>
                <w:top w:val="none" w:sz="0" w:space="0" w:color="auto"/>
                <w:left w:val="none" w:sz="0" w:space="0" w:color="auto"/>
                <w:bottom w:val="none" w:sz="0" w:space="0" w:color="auto"/>
                <w:right w:val="none" w:sz="0" w:space="0" w:color="auto"/>
              </w:divBdr>
              <w:divsChild>
                <w:div w:id="1900243311">
                  <w:marLeft w:val="0"/>
                  <w:marRight w:val="0"/>
                  <w:marTop w:val="0"/>
                  <w:marBottom w:val="0"/>
                  <w:divBdr>
                    <w:top w:val="none" w:sz="0" w:space="0" w:color="auto"/>
                    <w:left w:val="none" w:sz="0" w:space="0" w:color="auto"/>
                    <w:bottom w:val="none" w:sz="0" w:space="0" w:color="auto"/>
                    <w:right w:val="none" w:sz="0" w:space="0" w:color="auto"/>
                  </w:divBdr>
                  <w:divsChild>
                    <w:div w:id="1900243312">
                      <w:marLeft w:val="0"/>
                      <w:marRight w:val="0"/>
                      <w:marTop w:val="0"/>
                      <w:marBottom w:val="0"/>
                      <w:divBdr>
                        <w:top w:val="none" w:sz="0" w:space="0" w:color="auto"/>
                        <w:left w:val="none" w:sz="0" w:space="0" w:color="auto"/>
                        <w:bottom w:val="none" w:sz="0" w:space="0" w:color="auto"/>
                        <w:right w:val="none" w:sz="0" w:space="0" w:color="auto"/>
                      </w:divBdr>
                      <w:divsChild>
                        <w:div w:id="1900243288">
                          <w:marLeft w:val="0"/>
                          <w:marRight w:val="0"/>
                          <w:marTop w:val="0"/>
                          <w:marBottom w:val="0"/>
                          <w:divBdr>
                            <w:top w:val="none" w:sz="0" w:space="0" w:color="auto"/>
                            <w:left w:val="none" w:sz="0" w:space="0" w:color="auto"/>
                            <w:bottom w:val="none" w:sz="0" w:space="0" w:color="auto"/>
                            <w:right w:val="none" w:sz="0" w:space="0" w:color="auto"/>
                          </w:divBdr>
                          <w:divsChild>
                            <w:div w:id="1900243304">
                              <w:marLeft w:val="0"/>
                              <w:marRight w:val="0"/>
                              <w:marTop w:val="0"/>
                              <w:marBottom w:val="0"/>
                              <w:divBdr>
                                <w:top w:val="none" w:sz="0" w:space="0" w:color="auto"/>
                                <w:left w:val="none" w:sz="0" w:space="0" w:color="auto"/>
                                <w:bottom w:val="none" w:sz="0" w:space="0" w:color="auto"/>
                                <w:right w:val="none" w:sz="0" w:space="0" w:color="auto"/>
                              </w:divBdr>
                              <w:divsChild>
                                <w:div w:id="1900243287">
                                  <w:marLeft w:val="0"/>
                                  <w:marRight w:val="0"/>
                                  <w:marTop w:val="0"/>
                                  <w:marBottom w:val="0"/>
                                  <w:divBdr>
                                    <w:top w:val="none" w:sz="0" w:space="0" w:color="auto"/>
                                    <w:left w:val="none" w:sz="0" w:space="0" w:color="auto"/>
                                    <w:bottom w:val="none" w:sz="0" w:space="0" w:color="auto"/>
                                    <w:right w:val="none" w:sz="0" w:space="0" w:color="auto"/>
                                  </w:divBdr>
                                  <w:divsChild>
                                    <w:div w:id="1900243292">
                                      <w:marLeft w:val="0"/>
                                      <w:marRight w:val="0"/>
                                      <w:marTop w:val="0"/>
                                      <w:marBottom w:val="0"/>
                                      <w:divBdr>
                                        <w:top w:val="none" w:sz="0" w:space="0" w:color="auto"/>
                                        <w:left w:val="none" w:sz="0" w:space="0" w:color="auto"/>
                                        <w:bottom w:val="none" w:sz="0" w:space="0" w:color="auto"/>
                                        <w:right w:val="none" w:sz="0" w:space="0" w:color="auto"/>
                                      </w:divBdr>
                                      <w:divsChild>
                                        <w:div w:id="1900243295">
                                          <w:marLeft w:val="0"/>
                                          <w:marRight w:val="0"/>
                                          <w:marTop w:val="0"/>
                                          <w:marBottom w:val="0"/>
                                          <w:divBdr>
                                            <w:top w:val="none" w:sz="0" w:space="0" w:color="auto"/>
                                            <w:left w:val="none" w:sz="0" w:space="0" w:color="auto"/>
                                            <w:bottom w:val="none" w:sz="0" w:space="0" w:color="auto"/>
                                            <w:right w:val="none" w:sz="0" w:space="0" w:color="auto"/>
                                          </w:divBdr>
                                          <w:divsChild>
                                            <w:div w:id="1900243293">
                                              <w:marLeft w:val="0"/>
                                              <w:marRight w:val="0"/>
                                              <w:marTop w:val="0"/>
                                              <w:marBottom w:val="0"/>
                                              <w:divBdr>
                                                <w:top w:val="single" w:sz="6" w:space="0" w:color="F5F5F5"/>
                                                <w:left w:val="single" w:sz="6" w:space="0" w:color="F5F5F5"/>
                                                <w:bottom w:val="single" w:sz="6" w:space="0" w:color="F5F5F5"/>
                                                <w:right w:val="single" w:sz="6" w:space="0" w:color="F5F5F5"/>
                                              </w:divBdr>
                                              <w:divsChild>
                                                <w:div w:id="1900243291">
                                                  <w:marLeft w:val="0"/>
                                                  <w:marRight w:val="0"/>
                                                  <w:marTop w:val="0"/>
                                                  <w:marBottom w:val="0"/>
                                                  <w:divBdr>
                                                    <w:top w:val="none" w:sz="0" w:space="0" w:color="auto"/>
                                                    <w:left w:val="none" w:sz="0" w:space="0" w:color="auto"/>
                                                    <w:bottom w:val="none" w:sz="0" w:space="0" w:color="auto"/>
                                                    <w:right w:val="none" w:sz="0" w:space="0" w:color="auto"/>
                                                  </w:divBdr>
                                                  <w:divsChild>
                                                    <w:div w:id="1900243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hyperlink" Target="http://ec.europa.eu/information_society/digital-agenda/scoreboard/index_en.htm" TargetMode="External"/><Relationship Id="rId26" Type="http://schemas.openxmlformats.org/officeDocument/2006/relationships/image" Target="media/image15.png"/><Relationship Id="rId39" Type="http://schemas.openxmlformats.org/officeDocument/2006/relationships/footer" Target="footer2.xml"/><Relationship Id="rId3" Type="http://schemas.openxmlformats.org/officeDocument/2006/relationships/settings" Target="settings.xml"/><Relationship Id="rId21" Type="http://schemas.openxmlformats.org/officeDocument/2006/relationships/image" Target="media/image10.emf"/><Relationship Id="rId34" Type="http://schemas.openxmlformats.org/officeDocument/2006/relationships/image" Target="media/image23.pn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7" Type="http://schemas.openxmlformats.org/officeDocument/2006/relationships/hyperlink" Target="http://ec.europa.eu/information_society/digital-agenda/index_en.htm" TargetMode="External"/><Relationship Id="rId12" Type="http://schemas.openxmlformats.org/officeDocument/2006/relationships/image" Target="media/image4.emf"/><Relationship Id="rId17" Type="http://schemas.openxmlformats.org/officeDocument/2006/relationships/hyperlink" Target="http://ec.europa.eu/digital-agenda/en/news/digital-do-list-new-digital-priorities-2013-2014" TargetMode="External"/><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footer" Target="footer1.xml"/><Relationship Id="rId46" Type="http://schemas.openxmlformats.org/officeDocument/2006/relationships/image" Target="media/image33.jpeg"/><Relationship Id="rId2" Type="http://schemas.openxmlformats.org/officeDocument/2006/relationships/styles" Target="styles.xml"/><Relationship Id="rId16" Type="http://schemas.openxmlformats.org/officeDocument/2006/relationships/image" Target="media/image8.emf"/><Relationship Id="rId20" Type="http://schemas.openxmlformats.org/officeDocument/2006/relationships/image" Target="media/image9.emf"/><Relationship Id="rId29" Type="http://schemas.openxmlformats.org/officeDocument/2006/relationships/image" Target="media/image18.emf"/><Relationship Id="rId41" Type="http://schemas.openxmlformats.org/officeDocument/2006/relationships/image" Target="media/image28.jpeg"/><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24" Type="http://schemas.openxmlformats.org/officeDocument/2006/relationships/image" Target="media/image13.emf"/><Relationship Id="rId32" Type="http://schemas.openxmlformats.org/officeDocument/2006/relationships/image" Target="media/image21.png"/><Relationship Id="rId37" Type="http://schemas.openxmlformats.org/officeDocument/2006/relationships/image" Target="media/image26.emf"/><Relationship Id="rId40" Type="http://schemas.openxmlformats.org/officeDocument/2006/relationships/image" Target="media/image27.png"/><Relationship Id="rId45" Type="http://schemas.openxmlformats.org/officeDocument/2006/relationships/image" Target="media/image32.jpeg"/><Relationship Id="rId53"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2.emf"/><Relationship Id="rId28" Type="http://schemas.openxmlformats.org/officeDocument/2006/relationships/image" Target="media/image17.emf"/><Relationship Id="rId36" Type="http://schemas.openxmlformats.org/officeDocument/2006/relationships/image" Target="media/image25.png"/><Relationship Id="rId49" Type="http://schemas.openxmlformats.org/officeDocument/2006/relationships/image" Target="media/image36.jpeg"/><Relationship Id="rId10" Type="http://schemas.openxmlformats.org/officeDocument/2006/relationships/image" Target="media/image2.emf"/><Relationship Id="rId19" Type="http://schemas.openxmlformats.org/officeDocument/2006/relationships/hyperlink" Target="https://ec.europa.eu/digital-agenda/en/scoreboard/bulgaria" TargetMode="External"/><Relationship Id="rId31" Type="http://schemas.openxmlformats.org/officeDocument/2006/relationships/image" Target="media/image20.png"/><Relationship Id="rId44" Type="http://schemas.openxmlformats.org/officeDocument/2006/relationships/image" Target="media/image31.jpeg"/><Relationship Id="rId52"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media/image1.jpeg"/><Relationship Id="rId14" Type="http://schemas.openxmlformats.org/officeDocument/2006/relationships/image" Target="media/image6.emf"/><Relationship Id="rId22" Type="http://schemas.openxmlformats.org/officeDocument/2006/relationships/image" Target="media/image11.emf"/><Relationship Id="rId27" Type="http://schemas.openxmlformats.org/officeDocument/2006/relationships/image" Target="media/image16.png"/><Relationship Id="rId30" Type="http://schemas.openxmlformats.org/officeDocument/2006/relationships/image" Target="media/image19.emf"/><Relationship Id="rId35" Type="http://schemas.openxmlformats.org/officeDocument/2006/relationships/image" Target="media/image24.png"/><Relationship Id="rId43" Type="http://schemas.openxmlformats.org/officeDocument/2006/relationships/image" Target="media/image30.jpeg"/><Relationship Id="rId48" Type="http://schemas.openxmlformats.org/officeDocument/2006/relationships/image" Target="media/image35.jpeg"/><Relationship Id="rId8" Type="http://schemas.openxmlformats.org/officeDocument/2006/relationships/hyperlink" Target="http://ec.europa.eu/information_society/digitalagenda/scoreboard/index_en.htm" TargetMode="External"/><Relationship Id="rId5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1</TotalTime>
  <Pages>39</Pages>
  <Words>9456</Words>
  <Characters>-32766</Characters>
  <Application>Microsoft Office Outlook</Application>
  <DocSecurity>0</DocSecurity>
  <Lines>0</Lines>
  <Paragraphs>0</Paragraphs>
  <ScaleCrop>false</ScaleCrop>
  <Company>MTC</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COMMISSION STAFF WORKING DOCUMENT </dc:title>
  <dc:subject/>
  <dc:creator>Anelia Dimova</dc:creator>
  <cp:keywords/>
  <dc:description/>
  <cp:lastModifiedBy>Anelia Dimova</cp:lastModifiedBy>
  <cp:revision>2</cp:revision>
  <dcterms:created xsi:type="dcterms:W3CDTF">2013-12-18T06:50:00Z</dcterms:created>
  <dcterms:modified xsi:type="dcterms:W3CDTF">2013-12-18T06:50:00Z</dcterms:modified>
</cp:coreProperties>
</file>